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rPr>
          <w:noProof/>
        </w:rPr>
        <w:pict>
          <v:shapetype id="_x0000_t202" coordsize="21600,21600" o:spt="202" path="m,l,21600r21600,l21600,xe">
            <v:stroke joinstyle="miter"/>
            <v:path gradientshapeok="t" o:connecttype="rect"/>
          </v:shapetype>
          <v:shape id="_x0000_s1036" type="#_x0000_t202" style="position:absolute;left:0;text-align:left;margin-left:-.7pt;margin-top:-27.45pt;width:467.5pt;height:28.05pt;z-index:251653632" fillcolor="#004a91" strokecolor="#669">
            <v:shadow on="t" color="#669"/>
            <o:extrusion v:ext="view" backdepth="1in" type="perspective"/>
            <v:textbox style="mso-next-textbox:#_x0000_s1036">
              <w:txbxContent>
                <w:p>
                  <w:pPr>
                    <w:pStyle w:val="NC3ATitle"/>
                  </w:pPr>
                  <w:r>
                    <w:t>project implementation plan (pip)</w:t>
                  </w:r>
                </w:p>
                <w:p>
                  <w:pPr>
                    <w:pStyle w:val="NC3ATitle"/>
                  </w:pPr>
                </w:p>
                <w:p>
                  <w:pPr>
                    <w:pStyle w:val="NC3ATitle"/>
                  </w:pPr>
                  <w:r>
                    <w:t xml:space="preserve">training plan </w:t>
                  </w:r>
                </w:p>
                <w:p>
                  <w:pPr>
                    <w:pStyle w:val="NC3ATitle"/>
                  </w:pPr>
                </w:p>
                <w:p>
                  <w:pPr>
                    <w:pStyle w:val="NC3ATitle"/>
                  </w:pPr>
                  <w:r>
                    <w:t>VSX 8000 Administrator</w:t>
                  </w:r>
                  <w:r>
                    <w:rPr>
                      <w:rFonts w:hint="eastAsia"/>
                    </w:rPr>
                    <w:t>’</w:t>
                  </w:r>
                  <w:r>
                    <w:t>s guide</w:t>
                  </w:r>
                </w:p>
                <w:p>
                  <w:pPr>
                    <w:pStyle w:val="NC3ATitle"/>
                  </w:pPr>
                </w:p>
                <w:p>
                  <w:pPr>
                    <w:pStyle w:val="NC3ATitle"/>
                  </w:pPr>
                  <w:r>
                    <w:t xml:space="preserve">training plan </w:t>
                  </w:r>
                </w:p>
              </w:txbxContent>
            </v:textbox>
            <w10:wrap type="square"/>
          </v:shape>
        </w:pict>
      </w:r>
    </w:p>
    <w:p/>
    <w:p>
      <w:pPr>
        <w:ind w:left="0"/>
      </w:pPr>
    </w:p>
    <w:p>
      <w:pPr>
        <w:pStyle w:val="NC3ATitle"/>
      </w:pPr>
      <w:r>
        <w:t xml:space="preserve">FOR </w:t>
      </w:r>
      <w:r>
        <w:t xml:space="preserve">the </w:t>
      </w:r>
    </w:p>
    <w:p>
      <w:pPr>
        <w:pStyle w:val="NC3ATitle"/>
      </w:pPr>
      <w:r>
        <w:t>afghanistan mission network - vtc</w:t>
      </w:r>
    </w:p>
    <w:p>
      <w:pPr>
        <w:pStyle w:val="NC3ATitle"/>
      </w:pPr>
    </w:p>
    <w:p>
      <w:pPr>
        <w:pStyle w:val="NC3ATitle"/>
      </w:pPr>
      <w:r>
        <w:t>CO-</w:t>
      </w:r>
      <w:r>
        <w:t>1</w:t>
      </w:r>
      <w:r>
        <w:t>3039-amn</w:t>
      </w:r>
    </w:p>
    <w:p>
      <w:pPr>
        <w:pStyle w:val="NC3ATitle"/>
      </w:pPr>
    </w:p>
    <w:p/>
    <w:p>
      <w:pPr>
        <w:ind w:left="0"/>
      </w:pPr>
    </w:p>
    <w:p>
      <w:pPr>
        <w:ind w:left="0"/>
        <w:jc w:val="center"/>
      </w:pPr>
    </w:p>
    <w:p>
      <w:pPr>
        <w:pStyle w:val="NC3ATitle"/>
      </w:pPr>
      <w:r>
        <w:rPr>
          <w:noProof/>
        </w:rPr>
        <w:drawing>
          <wp:inline distT="0" distB="0" distL="0" distR="0">
            <wp:extent cx="2743200" cy="1818640"/>
            <wp:effectExtent l="19050" t="0" r="0" b="0"/>
            <wp:docPr id="17" name="Picture 1" descr="NC3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3A-2"/>
                    <pic:cNvPicPr>
                      <a:picLocks noChangeAspect="1" noChangeArrowheads="1"/>
                    </pic:cNvPicPr>
                  </pic:nvPicPr>
                  <pic:blipFill>
                    <a:blip r:embed="rId8">
                      <a:clrChange>
                        <a:clrFrom>
                          <a:srgbClr val="FBFDFA"/>
                        </a:clrFrom>
                        <a:clrTo>
                          <a:srgbClr val="FBFDFA">
                            <a:alpha val="0"/>
                          </a:srgbClr>
                        </a:clrTo>
                      </a:clrChange>
                    </a:blip>
                    <a:srcRect/>
                    <a:stretch>
                      <a:fillRect/>
                    </a:stretch>
                  </pic:blipFill>
                  <pic:spPr bwMode="auto">
                    <a:xfrm>
                      <a:off x="0" y="0"/>
                      <a:ext cx="2743200" cy="1818640"/>
                    </a:xfrm>
                    <a:prstGeom prst="rect">
                      <a:avLst/>
                    </a:prstGeom>
                    <a:noFill/>
                    <a:ln w="9525">
                      <a:noFill/>
                      <a:miter lim="800000"/>
                      <a:headEnd/>
                      <a:tailEnd/>
                    </a:ln>
                  </pic:spPr>
                </pic:pic>
              </a:graphicData>
            </a:graphic>
          </wp:inline>
        </w:drawing>
      </w:r>
    </w:p>
    <w:p>
      <w:pPr>
        <w:pStyle w:val="NC3ATitle"/>
      </w:pPr>
    </w:p>
    <w:p>
      <w:pPr>
        <w:pStyle w:val="NC3ATitle"/>
      </w:pPr>
    </w:p>
    <w:p>
      <w:pPr>
        <w:pStyle w:val="NC3ATitle"/>
      </w:pPr>
    </w:p>
    <w:p>
      <w:pPr>
        <w:pStyle w:val="NC3ATitle"/>
      </w:pPr>
    </w:p>
    <w:p>
      <w:pPr>
        <w:pStyle w:val="NC3ATitle"/>
      </w:pPr>
      <w:r>
        <w:t>Prepared by:</w:t>
      </w:r>
    </w:p>
    <w:p>
      <w:pPr>
        <w:pStyle w:val="NC3ATitle"/>
      </w:pPr>
    </w:p>
    <w:p>
      <w:pPr>
        <w:pStyle w:val="NC3ATitle"/>
      </w:pPr>
      <w:r>
        <w:rPr>
          <w:noProof/>
        </w:rPr>
        <w:drawing>
          <wp:inline distT="0" distB="0" distL="0" distR="0">
            <wp:extent cx="1374140" cy="429895"/>
            <wp:effectExtent l="19050" t="0" r="0" b="0"/>
            <wp:docPr id="15"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
                    <pic:cNvPicPr>
                      <a:picLocks noChangeAspect="1" noChangeArrowheads="1"/>
                    </pic:cNvPicPr>
                  </pic:nvPicPr>
                  <pic:blipFill>
                    <a:blip r:embed="rId9" cstate="print"/>
                    <a:srcRect/>
                    <a:stretch>
                      <a:fillRect/>
                    </a:stretch>
                  </pic:blipFill>
                  <pic:spPr bwMode="auto">
                    <a:xfrm>
                      <a:off x="0" y="0"/>
                      <a:ext cx="1374140" cy="429895"/>
                    </a:xfrm>
                    <a:prstGeom prst="rect">
                      <a:avLst/>
                    </a:prstGeom>
                    <a:noFill/>
                    <a:ln w="9525">
                      <a:noFill/>
                      <a:miter lim="800000"/>
                      <a:headEnd/>
                      <a:tailEnd/>
                    </a:ln>
                  </pic:spPr>
                </pic:pic>
              </a:graphicData>
            </a:graphic>
          </wp:inline>
        </w:drawing>
      </w:r>
    </w:p>
    <w:p>
      <w:pPr>
        <w:pStyle w:val="NC3ATitle"/>
      </w:pPr>
    </w:p>
    <w:p/>
    <w:p>
      <w:pPr>
        <w:pStyle w:val="NC3ATitle"/>
        <w:jc w:val="left"/>
      </w:pPr>
    </w:p>
    <w:p>
      <w:pPr>
        <w:pStyle w:val="NC3ATitle"/>
      </w:pPr>
    </w:p>
    <w:p>
      <w:pPr>
        <w:pStyle w:val="NC3ATitle"/>
        <w:sectPr>
          <w:headerReference w:type="default" r:id="rId10"/>
          <w:footerReference w:type="default" r:id="rId11"/>
          <w:pgSz w:w="12240" w:h="15840" w:code="1"/>
          <w:pgMar w:top="1440" w:right="1440" w:bottom="1440" w:left="1440" w:header="720" w:footer="720" w:gutter="0"/>
          <w:cols w:space="720"/>
          <w:docGrid w:linePitch="360"/>
        </w:sectPr>
      </w:pPr>
      <w:r>
        <w:t>27 apr 2010</w:t>
      </w:r>
    </w:p>
    <w:p>
      <w:pPr>
        <w:pStyle w:val="NC3ATitle"/>
      </w:pPr>
    </w:p>
    <w:p>
      <w:pPr>
        <w:pStyle w:val="NC3ATitle"/>
      </w:pPr>
      <w:r>
        <w:t>TABLE OF CONTENTS</w:t>
      </w:r>
    </w:p>
    <w:p>
      <w:pPr>
        <w:pStyle w:val="TOC1"/>
        <w:tabs>
          <w:tab w:val="left" w:pos="660"/>
          <w:tab w:val="right" w:leader="dot" w:pos="9350"/>
        </w:tabs>
        <w:rPr>
          <w:rFonts w:asciiTheme="minorHAnsi" w:eastAsiaTheme="minorEastAsia" w:hAnsiTheme="minorHAnsi" w:cstheme="minorBidi"/>
          <w:b w:val="0"/>
          <w:noProof/>
        </w:rPr>
      </w:pPr>
      <w:r>
        <w:rPr>
          <w:b w:val="0"/>
        </w:rPr>
        <w:fldChar w:fldCharType="begin"/>
      </w:r>
      <w:r>
        <w:rPr>
          <w:b w:val="0"/>
        </w:rPr>
        <w:instrText xml:space="preserve"> TOC \o "1-2" \h \z \u </w:instrText>
      </w:r>
      <w:r>
        <w:rPr>
          <w:b w:val="0"/>
        </w:rPr>
        <w:fldChar w:fldCharType="separate"/>
      </w:r>
      <w:hyperlink w:anchor="_Toc260245658" w:history="1">
        <w:r>
          <w:rPr>
            <w:rStyle w:val="Hyperlink"/>
            <w:noProof/>
          </w:rPr>
          <w:t>1.0</w:t>
        </w:r>
        <w:r>
          <w:rPr>
            <w:rFonts w:asciiTheme="minorHAnsi" w:eastAsiaTheme="minorEastAsia" w:hAnsiTheme="minorHAnsi" w:cstheme="minorBidi"/>
            <w:b w:val="0"/>
            <w:noProof/>
          </w:rPr>
          <w:tab/>
        </w:r>
        <w:r>
          <w:rPr>
            <w:rStyle w:val="Hyperlink"/>
            <w:noProof/>
          </w:rPr>
          <w:t>INTRODUCTION</w:t>
        </w:r>
        <w:r>
          <w:rPr>
            <w:noProof/>
            <w:webHidden/>
          </w:rPr>
          <w:tab/>
        </w:r>
        <w:r>
          <w:rPr>
            <w:noProof/>
            <w:webHidden/>
          </w:rPr>
          <w:fldChar w:fldCharType="begin"/>
        </w:r>
        <w:r>
          <w:rPr>
            <w:noProof/>
            <w:webHidden/>
          </w:rPr>
          <w:instrText xml:space="preserve"> PAGEREF _Toc260245658 \h </w:instrText>
        </w:r>
        <w:r>
          <w:rPr>
            <w:noProof/>
            <w:webHidden/>
          </w:rPr>
        </w:r>
        <w:r>
          <w:rPr>
            <w:noProof/>
            <w:webHidden/>
          </w:rPr>
          <w:fldChar w:fldCharType="separate"/>
        </w:r>
        <w:r>
          <w:rPr>
            <w:noProof/>
            <w:webHidden/>
          </w:rPr>
          <w:t>3</w:t>
        </w:r>
        <w:r>
          <w:rPr>
            <w:noProof/>
            <w:webHidden/>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59" w:history="1">
        <w:r>
          <w:rPr>
            <w:rStyle w:val="Hyperlink"/>
            <w:noProof/>
            <w:sz w:val="24"/>
          </w:rPr>
          <w:t>1.1</w:t>
        </w:r>
        <w:r>
          <w:rPr>
            <w:rFonts w:asciiTheme="minorHAnsi" w:eastAsiaTheme="minorEastAsia" w:hAnsiTheme="minorHAnsi" w:cstheme="minorBidi"/>
            <w:noProof/>
            <w:sz w:val="24"/>
          </w:rPr>
          <w:tab/>
        </w:r>
        <w:r>
          <w:rPr>
            <w:rStyle w:val="Hyperlink"/>
            <w:noProof/>
            <w:sz w:val="24"/>
          </w:rPr>
          <w:t>Purpose</w:t>
        </w:r>
        <w:r>
          <w:rPr>
            <w:noProof/>
            <w:webHidden/>
            <w:sz w:val="24"/>
          </w:rPr>
          <w:tab/>
        </w:r>
        <w:r>
          <w:rPr>
            <w:noProof/>
            <w:webHidden/>
            <w:sz w:val="24"/>
          </w:rPr>
          <w:fldChar w:fldCharType="begin"/>
        </w:r>
        <w:r>
          <w:rPr>
            <w:noProof/>
            <w:webHidden/>
            <w:sz w:val="24"/>
          </w:rPr>
          <w:instrText xml:space="preserve"> PAGEREF _Toc260245659 \h </w:instrText>
        </w:r>
        <w:r>
          <w:rPr>
            <w:noProof/>
            <w:webHidden/>
            <w:sz w:val="24"/>
          </w:rPr>
        </w:r>
        <w:r>
          <w:rPr>
            <w:noProof/>
            <w:webHidden/>
            <w:sz w:val="24"/>
          </w:rPr>
          <w:fldChar w:fldCharType="separate"/>
        </w:r>
        <w:r>
          <w:rPr>
            <w:noProof/>
            <w:webHidden/>
            <w:sz w:val="24"/>
          </w:rPr>
          <w:t>3</w:t>
        </w:r>
        <w:r>
          <w:rPr>
            <w:noProof/>
            <w:webHidden/>
            <w:sz w:val="24"/>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60" w:history="1">
        <w:r>
          <w:rPr>
            <w:rStyle w:val="Hyperlink"/>
            <w:noProof/>
            <w:sz w:val="24"/>
          </w:rPr>
          <w:t>1.2</w:t>
        </w:r>
        <w:r>
          <w:rPr>
            <w:rFonts w:asciiTheme="minorHAnsi" w:eastAsiaTheme="minorEastAsia" w:hAnsiTheme="minorHAnsi" w:cstheme="minorBidi"/>
            <w:noProof/>
            <w:sz w:val="24"/>
          </w:rPr>
          <w:tab/>
        </w:r>
        <w:r>
          <w:rPr>
            <w:rStyle w:val="Hyperlink"/>
            <w:noProof/>
            <w:sz w:val="24"/>
          </w:rPr>
          <w:t>Scope</w:t>
        </w:r>
        <w:r>
          <w:rPr>
            <w:noProof/>
            <w:webHidden/>
            <w:sz w:val="24"/>
          </w:rPr>
          <w:tab/>
        </w:r>
        <w:r>
          <w:rPr>
            <w:noProof/>
            <w:webHidden/>
            <w:sz w:val="24"/>
          </w:rPr>
          <w:fldChar w:fldCharType="begin"/>
        </w:r>
        <w:r>
          <w:rPr>
            <w:noProof/>
            <w:webHidden/>
            <w:sz w:val="24"/>
          </w:rPr>
          <w:instrText xml:space="preserve"> PAGEREF _Toc260245660 \h </w:instrText>
        </w:r>
        <w:r>
          <w:rPr>
            <w:noProof/>
            <w:webHidden/>
            <w:sz w:val="24"/>
          </w:rPr>
        </w:r>
        <w:r>
          <w:rPr>
            <w:noProof/>
            <w:webHidden/>
            <w:sz w:val="24"/>
          </w:rPr>
          <w:fldChar w:fldCharType="separate"/>
        </w:r>
        <w:r>
          <w:rPr>
            <w:noProof/>
            <w:webHidden/>
            <w:sz w:val="24"/>
          </w:rPr>
          <w:t>3</w:t>
        </w:r>
        <w:r>
          <w:rPr>
            <w:noProof/>
            <w:webHidden/>
            <w:sz w:val="24"/>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61" w:history="1">
        <w:r>
          <w:rPr>
            <w:rStyle w:val="Hyperlink"/>
            <w:noProof/>
            <w:sz w:val="24"/>
          </w:rPr>
          <w:t>1.3</w:t>
        </w:r>
        <w:r>
          <w:rPr>
            <w:rFonts w:asciiTheme="minorHAnsi" w:eastAsiaTheme="minorEastAsia" w:hAnsiTheme="minorHAnsi" w:cstheme="minorBidi"/>
            <w:noProof/>
            <w:sz w:val="24"/>
          </w:rPr>
          <w:tab/>
        </w:r>
        <w:r>
          <w:rPr>
            <w:rStyle w:val="Hyperlink"/>
            <w:noProof/>
            <w:sz w:val="24"/>
          </w:rPr>
          <w:t>Project Implementation Plan (PIP)</w:t>
        </w:r>
        <w:r>
          <w:rPr>
            <w:noProof/>
            <w:webHidden/>
            <w:sz w:val="24"/>
          </w:rPr>
          <w:tab/>
        </w:r>
        <w:r>
          <w:rPr>
            <w:noProof/>
            <w:webHidden/>
            <w:sz w:val="24"/>
          </w:rPr>
          <w:fldChar w:fldCharType="begin"/>
        </w:r>
        <w:r>
          <w:rPr>
            <w:noProof/>
            <w:webHidden/>
            <w:sz w:val="24"/>
          </w:rPr>
          <w:instrText xml:space="preserve"> PAGEREF _Toc260245661 \h </w:instrText>
        </w:r>
        <w:r>
          <w:rPr>
            <w:noProof/>
            <w:webHidden/>
            <w:sz w:val="24"/>
          </w:rPr>
        </w:r>
        <w:r>
          <w:rPr>
            <w:noProof/>
            <w:webHidden/>
            <w:sz w:val="24"/>
          </w:rPr>
          <w:fldChar w:fldCharType="separate"/>
        </w:r>
        <w:r>
          <w:rPr>
            <w:noProof/>
            <w:webHidden/>
            <w:sz w:val="24"/>
          </w:rPr>
          <w:t>3</w:t>
        </w:r>
        <w:r>
          <w:rPr>
            <w:noProof/>
            <w:webHidden/>
            <w:sz w:val="24"/>
          </w:rPr>
          <w:fldChar w:fldCharType="end"/>
        </w:r>
      </w:hyperlink>
    </w:p>
    <w:p>
      <w:pPr>
        <w:pStyle w:val="TOC1"/>
        <w:tabs>
          <w:tab w:val="left" w:pos="660"/>
          <w:tab w:val="right" w:leader="dot" w:pos="9350"/>
        </w:tabs>
        <w:rPr>
          <w:rFonts w:asciiTheme="minorHAnsi" w:eastAsiaTheme="minorEastAsia" w:hAnsiTheme="minorHAnsi" w:cstheme="minorBidi"/>
          <w:b w:val="0"/>
          <w:noProof/>
        </w:rPr>
      </w:pPr>
      <w:hyperlink w:anchor="_Toc260245662" w:history="1">
        <w:r>
          <w:rPr>
            <w:rStyle w:val="Hyperlink"/>
            <w:noProof/>
          </w:rPr>
          <w:t>2.0</w:t>
        </w:r>
        <w:r>
          <w:rPr>
            <w:rFonts w:asciiTheme="minorHAnsi" w:eastAsiaTheme="minorEastAsia" w:hAnsiTheme="minorHAnsi" w:cstheme="minorBidi"/>
            <w:b w:val="0"/>
            <w:noProof/>
          </w:rPr>
          <w:tab/>
        </w:r>
        <w:r>
          <w:rPr>
            <w:rStyle w:val="Hyperlink"/>
            <w:noProof/>
          </w:rPr>
          <w:t>Section 1 – Technical Solution</w:t>
        </w:r>
        <w:r>
          <w:rPr>
            <w:noProof/>
            <w:webHidden/>
          </w:rPr>
          <w:tab/>
        </w:r>
        <w:r>
          <w:rPr>
            <w:noProof/>
            <w:webHidden/>
          </w:rPr>
          <w:fldChar w:fldCharType="begin"/>
        </w:r>
        <w:r>
          <w:rPr>
            <w:noProof/>
            <w:webHidden/>
          </w:rPr>
          <w:instrText xml:space="preserve"> PAGEREF _Toc260245662 \h </w:instrText>
        </w:r>
        <w:r>
          <w:rPr>
            <w:noProof/>
            <w:webHidden/>
          </w:rPr>
        </w:r>
        <w:r>
          <w:rPr>
            <w:noProof/>
            <w:webHidden/>
          </w:rPr>
          <w:fldChar w:fldCharType="separate"/>
        </w:r>
        <w:r>
          <w:rPr>
            <w:noProof/>
            <w:webHidden/>
          </w:rPr>
          <w:t>4</w:t>
        </w:r>
        <w:r>
          <w:rPr>
            <w:noProof/>
            <w:webHidden/>
          </w:rPr>
          <w:fldChar w:fldCharType="end"/>
        </w:r>
      </w:hyperlink>
    </w:p>
    <w:p>
      <w:pPr>
        <w:pStyle w:val="TOC1"/>
        <w:tabs>
          <w:tab w:val="left" w:pos="660"/>
          <w:tab w:val="right" w:leader="dot" w:pos="9350"/>
        </w:tabs>
        <w:rPr>
          <w:rFonts w:asciiTheme="minorHAnsi" w:eastAsiaTheme="minorEastAsia" w:hAnsiTheme="minorHAnsi" w:cstheme="minorBidi"/>
          <w:b w:val="0"/>
          <w:noProof/>
        </w:rPr>
      </w:pPr>
      <w:hyperlink w:anchor="_Toc260245663" w:history="1">
        <w:r>
          <w:rPr>
            <w:rStyle w:val="Hyperlink"/>
            <w:noProof/>
          </w:rPr>
          <w:t>3.0</w:t>
        </w:r>
        <w:r>
          <w:rPr>
            <w:rFonts w:asciiTheme="minorHAnsi" w:eastAsiaTheme="minorEastAsia" w:hAnsiTheme="minorHAnsi" w:cstheme="minorBidi"/>
            <w:b w:val="0"/>
            <w:noProof/>
          </w:rPr>
          <w:tab/>
        </w:r>
        <w:r>
          <w:rPr>
            <w:rStyle w:val="Hyperlink"/>
            <w:noProof/>
          </w:rPr>
          <w:t>Section 2 – Procurement/Delivery Plan</w:t>
        </w:r>
        <w:r>
          <w:rPr>
            <w:noProof/>
            <w:webHidden/>
          </w:rPr>
          <w:tab/>
        </w:r>
        <w:r>
          <w:rPr>
            <w:noProof/>
            <w:webHidden/>
          </w:rPr>
          <w:fldChar w:fldCharType="begin"/>
        </w:r>
        <w:r>
          <w:rPr>
            <w:noProof/>
            <w:webHidden/>
          </w:rPr>
          <w:instrText xml:space="preserve"> PAGEREF _Toc260245663 \h </w:instrText>
        </w:r>
        <w:r>
          <w:rPr>
            <w:noProof/>
            <w:webHidden/>
          </w:rPr>
        </w:r>
        <w:r>
          <w:rPr>
            <w:noProof/>
            <w:webHidden/>
          </w:rPr>
          <w:fldChar w:fldCharType="separate"/>
        </w:r>
        <w:r>
          <w:rPr>
            <w:noProof/>
            <w:webHidden/>
          </w:rPr>
          <w:t>5</w:t>
        </w:r>
        <w:r>
          <w:rPr>
            <w:noProof/>
            <w:webHidden/>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64" w:history="1">
        <w:r>
          <w:rPr>
            <w:rStyle w:val="Hyperlink"/>
            <w:noProof/>
            <w:sz w:val="24"/>
          </w:rPr>
          <w:t>3.1</w:t>
        </w:r>
        <w:r>
          <w:rPr>
            <w:rFonts w:asciiTheme="minorHAnsi" w:eastAsiaTheme="minorEastAsia" w:hAnsiTheme="minorHAnsi" w:cstheme="minorBidi"/>
            <w:noProof/>
            <w:sz w:val="24"/>
          </w:rPr>
          <w:tab/>
        </w:r>
        <w:r>
          <w:rPr>
            <w:rStyle w:val="Hyperlink"/>
            <w:noProof/>
            <w:sz w:val="24"/>
          </w:rPr>
          <w:t>Phase I– Initial Configuration and Testing (SHAPE)</w:t>
        </w:r>
        <w:r>
          <w:rPr>
            <w:noProof/>
            <w:webHidden/>
            <w:sz w:val="24"/>
          </w:rPr>
          <w:tab/>
        </w:r>
        <w:r>
          <w:rPr>
            <w:noProof/>
            <w:webHidden/>
            <w:sz w:val="24"/>
          </w:rPr>
          <w:fldChar w:fldCharType="begin"/>
        </w:r>
        <w:r>
          <w:rPr>
            <w:noProof/>
            <w:webHidden/>
            <w:sz w:val="24"/>
          </w:rPr>
          <w:instrText xml:space="preserve"> PAGEREF _Toc260245664 \h </w:instrText>
        </w:r>
        <w:r>
          <w:rPr>
            <w:noProof/>
            <w:webHidden/>
            <w:sz w:val="24"/>
          </w:rPr>
        </w:r>
        <w:r>
          <w:rPr>
            <w:noProof/>
            <w:webHidden/>
            <w:sz w:val="24"/>
          </w:rPr>
          <w:fldChar w:fldCharType="separate"/>
        </w:r>
        <w:r>
          <w:rPr>
            <w:noProof/>
            <w:webHidden/>
            <w:sz w:val="24"/>
          </w:rPr>
          <w:t>5</w:t>
        </w:r>
        <w:r>
          <w:rPr>
            <w:noProof/>
            <w:webHidden/>
            <w:sz w:val="24"/>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65" w:history="1">
        <w:r>
          <w:rPr>
            <w:rStyle w:val="Hyperlink"/>
            <w:noProof/>
            <w:sz w:val="24"/>
          </w:rPr>
          <w:t>3.2</w:t>
        </w:r>
        <w:r>
          <w:rPr>
            <w:rFonts w:asciiTheme="minorHAnsi" w:eastAsiaTheme="minorEastAsia" w:hAnsiTheme="minorHAnsi" w:cstheme="minorBidi"/>
            <w:noProof/>
            <w:sz w:val="24"/>
          </w:rPr>
          <w:tab/>
        </w:r>
        <w:r>
          <w:rPr>
            <w:rStyle w:val="Hyperlink"/>
            <w:noProof/>
            <w:sz w:val="24"/>
          </w:rPr>
          <w:t>Phase II – Installation and Implementation Support (Afghanistan)</w:t>
        </w:r>
        <w:r>
          <w:rPr>
            <w:noProof/>
            <w:webHidden/>
            <w:sz w:val="24"/>
          </w:rPr>
          <w:tab/>
        </w:r>
        <w:r>
          <w:rPr>
            <w:noProof/>
            <w:webHidden/>
            <w:sz w:val="24"/>
          </w:rPr>
          <w:fldChar w:fldCharType="begin"/>
        </w:r>
        <w:r>
          <w:rPr>
            <w:noProof/>
            <w:webHidden/>
            <w:sz w:val="24"/>
          </w:rPr>
          <w:instrText xml:space="preserve"> PAGEREF _Toc260245665 \h </w:instrText>
        </w:r>
        <w:r>
          <w:rPr>
            <w:noProof/>
            <w:webHidden/>
            <w:sz w:val="24"/>
          </w:rPr>
        </w:r>
        <w:r>
          <w:rPr>
            <w:noProof/>
            <w:webHidden/>
            <w:sz w:val="24"/>
          </w:rPr>
          <w:fldChar w:fldCharType="separate"/>
        </w:r>
        <w:r>
          <w:rPr>
            <w:noProof/>
            <w:webHidden/>
            <w:sz w:val="24"/>
          </w:rPr>
          <w:t>5</w:t>
        </w:r>
        <w:r>
          <w:rPr>
            <w:noProof/>
            <w:webHidden/>
            <w:sz w:val="24"/>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66" w:history="1">
        <w:r>
          <w:rPr>
            <w:rStyle w:val="Hyperlink"/>
            <w:noProof/>
            <w:sz w:val="24"/>
          </w:rPr>
          <w:t>3.3</w:t>
        </w:r>
        <w:r>
          <w:rPr>
            <w:rFonts w:asciiTheme="minorHAnsi" w:eastAsiaTheme="minorEastAsia" w:hAnsiTheme="minorHAnsi" w:cstheme="minorBidi"/>
            <w:noProof/>
            <w:sz w:val="24"/>
          </w:rPr>
          <w:tab/>
        </w:r>
        <w:r>
          <w:rPr>
            <w:rStyle w:val="Hyperlink"/>
            <w:noProof/>
            <w:sz w:val="24"/>
          </w:rPr>
          <w:t>Project Timeline</w:t>
        </w:r>
        <w:r>
          <w:rPr>
            <w:noProof/>
            <w:webHidden/>
            <w:sz w:val="24"/>
          </w:rPr>
          <w:tab/>
        </w:r>
        <w:r>
          <w:rPr>
            <w:noProof/>
            <w:webHidden/>
            <w:sz w:val="24"/>
          </w:rPr>
          <w:fldChar w:fldCharType="begin"/>
        </w:r>
        <w:r>
          <w:rPr>
            <w:noProof/>
            <w:webHidden/>
            <w:sz w:val="24"/>
          </w:rPr>
          <w:instrText xml:space="preserve"> PAGEREF _Toc260245666 \h </w:instrText>
        </w:r>
        <w:r>
          <w:rPr>
            <w:noProof/>
            <w:webHidden/>
            <w:sz w:val="24"/>
          </w:rPr>
        </w:r>
        <w:r>
          <w:rPr>
            <w:noProof/>
            <w:webHidden/>
            <w:sz w:val="24"/>
          </w:rPr>
          <w:fldChar w:fldCharType="separate"/>
        </w:r>
        <w:r>
          <w:rPr>
            <w:noProof/>
            <w:webHidden/>
            <w:sz w:val="24"/>
          </w:rPr>
          <w:t>5</w:t>
        </w:r>
        <w:r>
          <w:rPr>
            <w:noProof/>
            <w:webHidden/>
            <w:sz w:val="24"/>
          </w:rPr>
          <w:fldChar w:fldCharType="end"/>
        </w:r>
      </w:hyperlink>
    </w:p>
    <w:p>
      <w:pPr>
        <w:pStyle w:val="TOC1"/>
        <w:tabs>
          <w:tab w:val="left" w:pos="660"/>
          <w:tab w:val="right" w:leader="dot" w:pos="9350"/>
        </w:tabs>
        <w:rPr>
          <w:rFonts w:asciiTheme="minorHAnsi" w:eastAsiaTheme="minorEastAsia" w:hAnsiTheme="minorHAnsi" w:cstheme="minorBidi"/>
          <w:b w:val="0"/>
          <w:noProof/>
        </w:rPr>
      </w:pPr>
      <w:hyperlink w:anchor="_Toc260245667" w:history="1">
        <w:r>
          <w:rPr>
            <w:rStyle w:val="Hyperlink"/>
            <w:noProof/>
          </w:rPr>
          <w:t>4.0</w:t>
        </w:r>
        <w:r>
          <w:rPr>
            <w:rFonts w:asciiTheme="minorHAnsi" w:eastAsiaTheme="minorEastAsia" w:hAnsiTheme="minorHAnsi" w:cstheme="minorBidi"/>
            <w:b w:val="0"/>
            <w:noProof/>
          </w:rPr>
          <w:tab/>
        </w:r>
        <w:r>
          <w:rPr>
            <w:rStyle w:val="Hyperlink"/>
            <w:noProof/>
          </w:rPr>
          <w:t>Section 3 – Management and Program Control</w:t>
        </w:r>
        <w:r>
          <w:rPr>
            <w:noProof/>
            <w:webHidden/>
          </w:rPr>
          <w:tab/>
        </w:r>
        <w:r>
          <w:rPr>
            <w:noProof/>
            <w:webHidden/>
          </w:rPr>
          <w:fldChar w:fldCharType="begin"/>
        </w:r>
        <w:r>
          <w:rPr>
            <w:noProof/>
            <w:webHidden/>
          </w:rPr>
          <w:instrText xml:space="preserve"> PAGEREF _Toc260245667 \h </w:instrText>
        </w:r>
        <w:r>
          <w:rPr>
            <w:noProof/>
            <w:webHidden/>
          </w:rPr>
        </w:r>
        <w:r>
          <w:rPr>
            <w:noProof/>
            <w:webHidden/>
          </w:rPr>
          <w:fldChar w:fldCharType="separate"/>
        </w:r>
        <w:r>
          <w:rPr>
            <w:noProof/>
            <w:webHidden/>
          </w:rPr>
          <w:t>8</w:t>
        </w:r>
        <w:r>
          <w:rPr>
            <w:noProof/>
            <w:webHidden/>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68" w:history="1">
        <w:r>
          <w:rPr>
            <w:rStyle w:val="Hyperlink"/>
            <w:noProof/>
            <w:sz w:val="24"/>
          </w:rPr>
          <w:t>4.1</w:t>
        </w:r>
        <w:r>
          <w:rPr>
            <w:rFonts w:asciiTheme="minorHAnsi" w:eastAsiaTheme="minorEastAsia" w:hAnsiTheme="minorHAnsi" w:cstheme="minorBidi"/>
            <w:noProof/>
            <w:sz w:val="24"/>
          </w:rPr>
          <w:tab/>
        </w:r>
        <w:r>
          <w:rPr>
            <w:rStyle w:val="Hyperlink"/>
            <w:noProof/>
            <w:sz w:val="24"/>
          </w:rPr>
          <w:t>The ManTech Team</w:t>
        </w:r>
        <w:r>
          <w:rPr>
            <w:noProof/>
            <w:webHidden/>
            <w:sz w:val="24"/>
          </w:rPr>
          <w:tab/>
        </w:r>
        <w:r>
          <w:rPr>
            <w:noProof/>
            <w:webHidden/>
            <w:sz w:val="24"/>
          </w:rPr>
          <w:fldChar w:fldCharType="begin"/>
        </w:r>
        <w:r>
          <w:rPr>
            <w:noProof/>
            <w:webHidden/>
            <w:sz w:val="24"/>
          </w:rPr>
          <w:instrText xml:space="preserve"> PAGEREF _Toc260245668 \h </w:instrText>
        </w:r>
        <w:r>
          <w:rPr>
            <w:noProof/>
            <w:webHidden/>
            <w:sz w:val="24"/>
          </w:rPr>
        </w:r>
        <w:r>
          <w:rPr>
            <w:noProof/>
            <w:webHidden/>
            <w:sz w:val="24"/>
          </w:rPr>
          <w:fldChar w:fldCharType="separate"/>
        </w:r>
        <w:r>
          <w:rPr>
            <w:noProof/>
            <w:webHidden/>
            <w:sz w:val="24"/>
          </w:rPr>
          <w:t>8</w:t>
        </w:r>
        <w:r>
          <w:rPr>
            <w:noProof/>
            <w:webHidden/>
            <w:sz w:val="24"/>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69" w:history="1">
        <w:r>
          <w:rPr>
            <w:rStyle w:val="Hyperlink"/>
            <w:noProof/>
            <w:sz w:val="24"/>
          </w:rPr>
          <w:t>4.2</w:t>
        </w:r>
        <w:r>
          <w:rPr>
            <w:rFonts w:asciiTheme="minorHAnsi" w:eastAsiaTheme="minorEastAsia" w:hAnsiTheme="minorHAnsi" w:cstheme="minorBidi"/>
            <w:noProof/>
            <w:sz w:val="24"/>
          </w:rPr>
          <w:tab/>
        </w:r>
        <w:r>
          <w:rPr>
            <w:rStyle w:val="Hyperlink"/>
            <w:noProof/>
            <w:sz w:val="24"/>
          </w:rPr>
          <w:t>Risk Management</w:t>
        </w:r>
        <w:r>
          <w:rPr>
            <w:noProof/>
            <w:webHidden/>
            <w:sz w:val="24"/>
          </w:rPr>
          <w:tab/>
        </w:r>
        <w:r>
          <w:rPr>
            <w:noProof/>
            <w:webHidden/>
            <w:sz w:val="24"/>
          </w:rPr>
          <w:fldChar w:fldCharType="begin"/>
        </w:r>
        <w:r>
          <w:rPr>
            <w:noProof/>
            <w:webHidden/>
            <w:sz w:val="24"/>
          </w:rPr>
          <w:instrText xml:space="preserve"> PAGEREF _Toc260245669 \h </w:instrText>
        </w:r>
        <w:r>
          <w:rPr>
            <w:noProof/>
            <w:webHidden/>
            <w:sz w:val="24"/>
          </w:rPr>
        </w:r>
        <w:r>
          <w:rPr>
            <w:noProof/>
            <w:webHidden/>
            <w:sz w:val="24"/>
          </w:rPr>
          <w:fldChar w:fldCharType="separate"/>
        </w:r>
        <w:r>
          <w:rPr>
            <w:noProof/>
            <w:webHidden/>
            <w:sz w:val="24"/>
          </w:rPr>
          <w:t>9</w:t>
        </w:r>
        <w:r>
          <w:rPr>
            <w:noProof/>
            <w:webHidden/>
            <w:sz w:val="24"/>
          </w:rPr>
          <w:fldChar w:fldCharType="end"/>
        </w:r>
      </w:hyperlink>
    </w:p>
    <w:p>
      <w:pPr>
        <w:pStyle w:val="TOC1"/>
        <w:tabs>
          <w:tab w:val="left" w:pos="660"/>
          <w:tab w:val="right" w:leader="dot" w:pos="9350"/>
        </w:tabs>
        <w:rPr>
          <w:rFonts w:asciiTheme="minorHAnsi" w:eastAsiaTheme="minorEastAsia" w:hAnsiTheme="minorHAnsi" w:cstheme="minorBidi"/>
          <w:b w:val="0"/>
          <w:noProof/>
        </w:rPr>
      </w:pPr>
      <w:hyperlink w:anchor="_Toc260245670" w:history="1">
        <w:r>
          <w:rPr>
            <w:rStyle w:val="Hyperlink"/>
            <w:noProof/>
          </w:rPr>
          <w:t>5.0</w:t>
        </w:r>
        <w:r>
          <w:rPr>
            <w:rFonts w:asciiTheme="minorHAnsi" w:eastAsiaTheme="minorEastAsia" w:hAnsiTheme="minorHAnsi" w:cstheme="minorBidi"/>
            <w:b w:val="0"/>
            <w:noProof/>
          </w:rPr>
          <w:tab/>
        </w:r>
        <w:r>
          <w:rPr>
            <w:rStyle w:val="Hyperlink"/>
            <w:noProof/>
          </w:rPr>
          <w:t>Section 5 – Integrated Logistics Support</w:t>
        </w:r>
        <w:r>
          <w:rPr>
            <w:noProof/>
            <w:webHidden/>
          </w:rPr>
          <w:tab/>
        </w:r>
        <w:r>
          <w:rPr>
            <w:noProof/>
            <w:webHidden/>
          </w:rPr>
          <w:fldChar w:fldCharType="begin"/>
        </w:r>
        <w:r>
          <w:rPr>
            <w:noProof/>
            <w:webHidden/>
          </w:rPr>
          <w:instrText xml:space="preserve"> PAGEREF _Toc260245670 \h </w:instrText>
        </w:r>
        <w:r>
          <w:rPr>
            <w:noProof/>
            <w:webHidden/>
          </w:rPr>
        </w:r>
        <w:r>
          <w:rPr>
            <w:noProof/>
            <w:webHidden/>
          </w:rPr>
          <w:fldChar w:fldCharType="separate"/>
        </w:r>
        <w:r>
          <w:rPr>
            <w:noProof/>
            <w:webHidden/>
          </w:rPr>
          <w:t>15</w:t>
        </w:r>
        <w:r>
          <w:rPr>
            <w:noProof/>
            <w:webHidden/>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71" w:history="1">
        <w:r>
          <w:rPr>
            <w:rStyle w:val="Hyperlink"/>
            <w:noProof/>
            <w:sz w:val="24"/>
          </w:rPr>
          <w:t>5.1</w:t>
        </w:r>
        <w:r>
          <w:rPr>
            <w:rFonts w:asciiTheme="minorHAnsi" w:eastAsiaTheme="minorEastAsia" w:hAnsiTheme="minorHAnsi" w:cstheme="minorBidi"/>
            <w:noProof/>
            <w:sz w:val="24"/>
          </w:rPr>
          <w:tab/>
        </w:r>
        <w:r>
          <w:rPr>
            <w:rStyle w:val="Hyperlink"/>
            <w:noProof/>
            <w:sz w:val="24"/>
          </w:rPr>
          <w:t>O &amp; M  Reference Manual</w:t>
        </w:r>
        <w:r>
          <w:rPr>
            <w:noProof/>
            <w:webHidden/>
            <w:sz w:val="24"/>
          </w:rPr>
          <w:tab/>
        </w:r>
        <w:r>
          <w:rPr>
            <w:noProof/>
            <w:webHidden/>
            <w:sz w:val="24"/>
          </w:rPr>
          <w:fldChar w:fldCharType="begin"/>
        </w:r>
        <w:r>
          <w:rPr>
            <w:noProof/>
            <w:webHidden/>
            <w:sz w:val="24"/>
          </w:rPr>
          <w:instrText xml:space="preserve"> PAGEREF _Toc260245671 \h </w:instrText>
        </w:r>
        <w:r>
          <w:rPr>
            <w:noProof/>
            <w:webHidden/>
            <w:sz w:val="24"/>
          </w:rPr>
        </w:r>
        <w:r>
          <w:rPr>
            <w:noProof/>
            <w:webHidden/>
            <w:sz w:val="24"/>
          </w:rPr>
          <w:fldChar w:fldCharType="separate"/>
        </w:r>
        <w:r>
          <w:rPr>
            <w:noProof/>
            <w:webHidden/>
            <w:sz w:val="24"/>
          </w:rPr>
          <w:t>15</w:t>
        </w:r>
        <w:r>
          <w:rPr>
            <w:noProof/>
            <w:webHidden/>
            <w:sz w:val="24"/>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72" w:history="1">
        <w:r>
          <w:rPr>
            <w:rStyle w:val="Hyperlink"/>
            <w:noProof/>
            <w:sz w:val="24"/>
          </w:rPr>
          <w:t>5.2</w:t>
        </w:r>
        <w:r>
          <w:rPr>
            <w:rFonts w:asciiTheme="minorHAnsi" w:eastAsiaTheme="minorEastAsia" w:hAnsiTheme="minorHAnsi" w:cstheme="minorBidi"/>
            <w:noProof/>
            <w:sz w:val="24"/>
          </w:rPr>
          <w:tab/>
        </w:r>
        <w:r>
          <w:rPr>
            <w:rStyle w:val="Hyperlink"/>
            <w:noProof/>
            <w:sz w:val="24"/>
          </w:rPr>
          <w:t>Maintenance</w:t>
        </w:r>
        <w:r>
          <w:rPr>
            <w:noProof/>
            <w:webHidden/>
            <w:sz w:val="24"/>
          </w:rPr>
          <w:tab/>
        </w:r>
        <w:r>
          <w:rPr>
            <w:noProof/>
            <w:webHidden/>
            <w:sz w:val="24"/>
          </w:rPr>
          <w:fldChar w:fldCharType="begin"/>
        </w:r>
        <w:r>
          <w:rPr>
            <w:noProof/>
            <w:webHidden/>
            <w:sz w:val="24"/>
          </w:rPr>
          <w:instrText xml:space="preserve"> PAGEREF _Toc260245672 \h </w:instrText>
        </w:r>
        <w:r>
          <w:rPr>
            <w:noProof/>
            <w:webHidden/>
            <w:sz w:val="24"/>
          </w:rPr>
        </w:r>
        <w:r>
          <w:rPr>
            <w:noProof/>
            <w:webHidden/>
            <w:sz w:val="24"/>
          </w:rPr>
          <w:fldChar w:fldCharType="separate"/>
        </w:r>
        <w:r>
          <w:rPr>
            <w:noProof/>
            <w:webHidden/>
            <w:sz w:val="24"/>
          </w:rPr>
          <w:t>15</w:t>
        </w:r>
        <w:r>
          <w:rPr>
            <w:noProof/>
            <w:webHidden/>
            <w:sz w:val="24"/>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73" w:history="1">
        <w:r>
          <w:rPr>
            <w:rStyle w:val="Hyperlink"/>
            <w:noProof/>
            <w:sz w:val="24"/>
          </w:rPr>
          <w:t>5.3</w:t>
        </w:r>
        <w:r>
          <w:rPr>
            <w:rFonts w:asciiTheme="minorHAnsi" w:eastAsiaTheme="minorEastAsia" w:hAnsiTheme="minorHAnsi" w:cstheme="minorBidi"/>
            <w:noProof/>
            <w:sz w:val="24"/>
          </w:rPr>
          <w:tab/>
        </w:r>
        <w:r>
          <w:rPr>
            <w:rStyle w:val="Hyperlink"/>
            <w:noProof/>
            <w:sz w:val="24"/>
          </w:rPr>
          <w:t>Transportation and Packaging</w:t>
        </w:r>
        <w:r>
          <w:rPr>
            <w:noProof/>
            <w:webHidden/>
            <w:sz w:val="24"/>
          </w:rPr>
          <w:tab/>
        </w:r>
        <w:r>
          <w:rPr>
            <w:noProof/>
            <w:webHidden/>
            <w:sz w:val="24"/>
          </w:rPr>
          <w:fldChar w:fldCharType="begin"/>
        </w:r>
        <w:r>
          <w:rPr>
            <w:noProof/>
            <w:webHidden/>
            <w:sz w:val="24"/>
          </w:rPr>
          <w:instrText xml:space="preserve"> PAGEREF _Toc260245673 \h </w:instrText>
        </w:r>
        <w:r>
          <w:rPr>
            <w:noProof/>
            <w:webHidden/>
            <w:sz w:val="24"/>
          </w:rPr>
        </w:r>
        <w:r>
          <w:rPr>
            <w:noProof/>
            <w:webHidden/>
            <w:sz w:val="24"/>
          </w:rPr>
          <w:fldChar w:fldCharType="separate"/>
        </w:r>
        <w:r>
          <w:rPr>
            <w:noProof/>
            <w:webHidden/>
            <w:sz w:val="24"/>
          </w:rPr>
          <w:t>15</w:t>
        </w:r>
        <w:r>
          <w:rPr>
            <w:noProof/>
            <w:webHidden/>
            <w:sz w:val="24"/>
          </w:rPr>
          <w:fldChar w:fldCharType="end"/>
        </w:r>
      </w:hyperlink>
    </w:p>
    <w:p>
      <w:pPr>
        <w:pStyle w:val="TOC1"/>
        <w:tabs>
          <w:tab w:val="left" w:pos="660"/>
          <w:tab w:val="right" w:leader="dot" w:pos="9350"/>
        </w:tabs>
        <w:rPr>
          <w:rFonts w:asciiTheme="minorHAnsi" w:eastAsiaTheme="minorEastAsia" w:hAnsiTheme="minorHAnsi" w:cstheme="minorBidi"/>
          <w:b w:val="0"/>
          <w:noProof/>
        </w:rPr>
      </w:pPr>
      <w:hyperlink w:anchor="_Toc260245674" w:history="1">
        <w:r>
          <w:rPr>
            <w:rStyle w:val="Hyperlink"/>
            <w:noProof/>
          </w:rPr>
          <w:t>6.0</w:t>
        </w:r>
        <w:r>
          <w:rPr>
            <w:rFonts w:asciiTheme="minorHAnsi" w:eastAsiaTheme="minorEastAsia" w:hAnsiTheme="minorHAnsi" w:cstheme="minorBidi"/>
            <w:b w:val="0"/>
            <w:noProof/>
          </w:rPr>
          <w:tab/>
        </w:r>
        <w:r>
          <w:rPr>
            <w:rFonts w:eastAsiaTheme="minorEastAsia"/>
            <w:b w:val="0"/>
            <w:noProof/>
          </w:rPr>
          <w:t>S</w:t>
        </w:r>
        <w:r>
          <w:rPr>
            <w:rStyle w:val="Hyperlink"/>
            <w:noProof/>
          </w:rPr>
          <w:t xml:space="preserve">ection </w:t>
        </w:r>
        <w:r>
          <w:rPr>
            <w:rStyle w:val="Hyperlink"/>
            <w:noProof/>
          </w:rPr>
          <w:t>6</w:t>
        </w:r>
        <w:r>
          <w:rPr>
            <w:rStyle w:val="Hyperlink"/>
            <w:noProof/>
          </w:rPr>
          <w:t xml:space="preserve"> - Security</w:t>
        </w:r>
        <w:r>
          <w:rPr>
            <w:noProof/>
            <w:webHidden/>
          </w:rPr>
          <w:tab/>
        </w:r>
        <w:r>
          <w:rPr>
            <w:noProof/>
            <w:webHidden/>
          </w:rPr>
          <w:fldChar w:fldCharType="begin"/>
        </w:r>
        <w:r>
          <w:rPr>
            <w:noProof/>
            <w:webHidden/>
          </w:rPr>
          <w:instrText xml:space="preserve"> PAGEREF _Toc260245674 \h </w:instrText>
        </w:r>
        <w:r>
          <w:rPr>
            <w:noProof/>
            <w:webHidden/>
          </w:rPr>
        </w:r>
        <w:r>
          <w:rPr>
            <w:noProof/>
            <w:webHidden/>
          </w:rPr>
          <w:fldChar w:fldCharType="separate"/>
        </w:r>
        <w:r>
          <w:rPr>
            <w:noProof/>
            <w:webHidden/>
          </w:rPr>
          <w:t>17</w:t>
        </w:r>
        <w:r>
          <w:rPr>
            <w:noProof/>
            <w:webHidden/>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75" w:history="1">
        <w:r>
          <w:rPr>
            <w:rStyle w:val="Hyperlink"/>
            <w:noProof/>
            <w:sz w:val="24"/>
          </w:rPr>
          <w:t>6.1</w:t>
        </w:r>
        <w:r>
          <w:rPr>
            <w:rFonts w:asciiTheme="minorHAnsi" w:eastAsiaTheme="minorEastAsia" w:hAnsiTheme="minorHAnsi" w:cstheme="minorBidi"/>
            <w:noProof/>
            <w:sz w:val="24"/>
          </w:rPr>
          <w:tab/>
        </w:r>
        <w:r>
          <w:rPr>
            <w:rStyle w:val="Hyperlink"/>
            <w:noProof/>
            <w:sz w:val="24"/>
          </w:rPr>
          <w:t>Electronic Devices</w:t>
        </w:r>
        <w:r>
          <w:rPr>
            <w:noProof/>
            <w:webHidden/>
            <w:sz w:val="24"/>
          </w:rPr>
          <w:tab/>
        </w:r>
        <w:r>
          <w:rPr>
            <w:noProof/>
            <w:webHidden/>
            <w:sz w:val="24"/>
          </w:rPr>
          <w:fldChar w:fldCharType="begin"/>
        </w:r>
        <w:r>
          <w:rPr>
            <w:noProof/>
            <w:webHidden/>
            <w:sz w:val="24"/>
          </w:rPr>
          <w:instrText xml:space="preserve"> PAGEREF _Toc260245675 \h </w:instrText>
        </w:r>
        <w:r>
          <w:rPr>
            <w:noProof/>
            <w:webHidden/>
            <w:sz w:val="24"/>
          </w:rPr>
        </w:r>
        <w:r>
          <w:rPr>
            <w:noProof/>
            <w:webHidden/>
            <w:sz w:val="24"/>
          </w:rPr>
          <w:fldChar w:fldCharType="separate"/>
        </w:r>
        <w:r>
          <w:rPr>
            <w:noProof/>
            <w:webHidden/>
            <w:sz w:val="24"/>
          </w:rPr>
          <w:t>17</w:t>
        </w:r>
        <w:r>
          <w:rPr>
            <w:noProof/>
            <w:webHidden/>
            <w:sz w:val="24"/>
          </w:rPr>
          <w:fldChar w:fldCharType="end"/>
        </w:r>
      </w:hyperlink>
    </w:p>
    <w:p>
      <w:pPr>
        <w:pStyle w:val="TOC2"/>
        <w:tabs>
          <w:tab w:val="left" w:pos="880"/>
          <w:tab w:val="right" w:leader="dot" w:pos="9350"/>
        </w:tabs>
        <w:rPr>
          <w:rFonts w:asciiTheme="minorHAnsi" w:eastAsiaTheme="minorEastAsia" w:hAnsiTheme="minorHAnsi" w:cstheme="minorBidi"/>
          <w:noProof/>
          <w:sz w:val="24"/>
        </w:rPr>
      </w:pPr>
      <w:hyperlink w:anchor="_Toc260245676" w:history="1">
        <w:r>
          <w:rPr>
            <w:rStyle w:val="Hyperlink"/>
            <w:noProof/>
            <w:sz w:val="24"/>
          </w:rPr>
          <w:t>6.2</w:t>
        </w:r>
        <w:r>
          <w:rPr>
            <w:rFonts w:asciiTheme="minorHAnsi" w:eastAsiaTheme="minorEastAsia" w:hAnsiTheme="minorHAnsi" w:cstheme="minorBidi"/>
            <w:noProof/>
            <w:sz w:val="24"/>
          </w:rPr>
          <w:tab/>
        </w:r>
        <w:r>
          <w:rPr>
            <w:rStyle w:val="Hyperlink"/>
            <w:noProof/>
            <w:sz w:val="24"/>
          </w:rPr>
          <w:t>Clearances</w:t>
        </w:r>
        <w:r>
          <w:rPr>
            <w:noProof/>
            <w:webHidden/>
            <w:sz w:val="24"/>
          </w:rPr>
          <w:tab/>
        </w:r>
        <w:r>
          <w:rPr>
            <w:noProof/>
            <w:webHidden/>
            <w:sz w:val="24"/>
          </w:rPr>
          <w:fldChar w:fldCharType="begin"/>
        </w:r>
        <w:r>
          <w:rPr>
            <w:noProof/>
            <w:webHidden/>
            <w:sz w:val="24"/>
          </w:rPr>
          <w:instrText xml:space="preserve"> PAGEREF _Toc260245676 \h </w:instrText>
        </w:r>
        <w:r>
          <w:rPr>
            <w:noProof/>
            <w:webHidden/>
            <w:sz w:val="24"/>
          </w:rPr>
        </w:r>
        <w:r>
          <w:rPr>
            <w:noProof/>
            <w:webHidden/>
            <w:sz w:val="24"/>
          </w:rPr>
          <w:fldChar w:fldCharType="separate"/>
        </w:r>
        <w:r>
          <w:rPr>
            <w:noProof/>
            <w:webHidden/>
            <w:sz w:val="24"/>
          </w:rPr>
          <w:t>17</w:t>
        </w:r>
        <w:r>
          <w:rPr>
            <w:noProof/>
            <w:webHidden/>
            <w:sz w:val="24"/>
          </w:rPr>
          <w:fldChar w:fldCharType="end"/>
        </w:r>
      </w:hyperlink>
    </w:p>
    <w:p>
      <w:pPr>
        <w:pStyle w:val="Heading1"/>
        <w:numPr>
          <w:ilvl w:val="0"/>
          <w:numId w:val="0"/>
        </w:numPr>
      </w:pPr>
      <w:r>
        <w:rPr>
          <w:rFonts w:ascii="Times New Roman" w:hAnsi="Times New Roman" w:cs="Times New Roman"/>
          <w:b w:val="0"/>
          <w:kern w:val="0"/>
          <w:sz w:val="24"/>
          <w:szCs w:val="24"/>
        </w:rPr>
        <w:fldChar w:fldCharType="end"/>
      </w:r>
    </w:p>
    <w:p>
      <w:pPr>
        <w:pStyle w:val="Heading1"/>
      </w:pPr>
      <w:r>
        <w:br w:type="page"/>
      </w:r>
      <w:bookmarkStart w:id="0" w:name="_Toc260245658"/>
      <w:r>
        <w:lastRenderedPageBreak/>
        <w:t>INTRODUCTION</w:t>
      </w:r>
      <w:bookmarkEnd w:id="0"/>
    </w:p>
    <w:p>
      <w:pPr>
        <w:pStyle w:val="Heading2"/>
      </w:pPr>
      <w:bookmarkStart w:id="1" w:name="_Toc260245659"/>
      <w:r>
        <w:t>Purpose</w:t>
      </w:r>
      <w:bookmarkEnd w:id="1"/>
    </w:p>
    <w:p>
      <w:pPr>
        <w:ind w:left="576"/>
      </w:pPr>
      <w:r>
        <w:t xml:space="preserve">The Project Implementation Plan (PIP) addresses the manner in which ManTech </w:t>
      </w:r>
      <w:r>
        <w:t>proposes to procure equipment and provide support for installation and implementation activities for the equipment purchased under CO-13039-VMN,</w:t>
      </w:r>
    </w:p>
    <w:p>
      <w:pPr>
        <w:pStyle w:val="Heading2"/>
      </w:pPr>
      <w:bookmarkStart w:id="2" w:name="_Toc260245660"/>
      <w:r>
        <w:t>Scope</w:t>
      </w:r>
      <w:bookmarkEnd w:id="2"/>
    </w:p>
    <w:p>
      <w:pPr>
        <w:ind w:left="576"/>
      </w:pPr>
      <w:r>
        <w:t xml:space="preserve">The ManTech management approach is designed to meet all the technical requirements, as well as, the distance and time challenges of the </w:t>
      </w:r>
      <w:r>
        <w:t>Afghanistan Mission Network VTC project.</w:t>
      </w:r>
      <w:r>
        <w:t xml:space="preserve">  This document, the Project Implementation Plan (PIP), details all aspects of the project management for this effort</w:t>
      </w:r>
      <w:r>
        <w:t>.</w:t>
      </w:r>
    </w:p>
    <w:p>
      <w:pPr>
        <w:pStyle w:val="Heading2"/>
      </w:pPr>
      <w:bookmarkStart w:id="3" w:name="_Toc260245661"/>
      <w:r>
        <w:t>Project Implementation Plan (PIP)</w:t>
      </w:r>
      <w:bookmarkEnd w:id="3"/>
    </w:p>
    <w:p>
      <w:pPr>
        <w:ind w:left="576"/>
      </w:pPr>
      <w:r>
        <w:t>Th</w:t>
      </w:r>
      <w:r>
        <w:t xml:space="preserve">is version of the </w:t>
      </w:r>
      <w:r>
        <w:t>PIP describe</w:t>
      </w:r>
      <w:r>
        <w:t>s</w:t>
      </w:r>
      <w:r>
        <w:t xml:space="preserve"> ManTech’s approach for administration and completion </w:t>
      </w:r>
      <w:r>
        <w:t xml:space="preserve">of </w:t>
      </w:r>
      <w:r>
        <w:t>the contract.  The plan will outline ManTech’s managem</w:t>
      </w:r>
      <w:r>
        <w:t xml:space="preserve">ent approach. </w:t>
      </w:r>
      <w:r>
        <w:t xml:space="preserve"> </w:t>
      </w:r>
      <w:r>
        <w:t>The remainder of the PIP is organized as follows:</w:t>
      </w:r>
    </w:p>
    <w:p>
      <w:pPr>
        <w:pStyle w:val="ListParagraph"/>
        <w:numPr>
          <w:ilvl w:val="0"/>
          <w:numId w:val="37"/>
        </w:numPr>
      </w:pPr>
      <w:r>
        <w:t>Section 1 – Technical Solution</w:t>
      </w:r>
    </w:p>
    <w:p>
      <w:pPr>
        <w:pStyle w:val="ListParagraph"/>
        <w:numPr>
          <w:ilvl w:val="0"/>
          <w:numId w:val="37"/>
        </w:numPr>
      </w:pPr>
      <w:r>
        <w:t>Section 2 – Procurement and Delivery</w:t>
      </w:r>
    </w:p>
    <w:p>
      <w:pPr>
        <w:pStyle w:val="ListParagraph"/>
        <w:numPr>
          <w:ilvl w:val="0"/>
          <w:numId w:val="37"/>
        </w:numPr>
      </w:pPr>
      <w:r>
        <w:t>Section 3 – Management and Program Control</w:t>
      </w:r>
    </w:p>
    <w:p>
      <w:pPr>
        <w:pStyle w:val="ListParagraph"/>
        <w:numPr>
          <w:ilvl w:val="0"/>
          <w:numId w:val="37"/>
        </w:numPr>
      </w:pPr>
      <w:r>
        <w:t>Section 4 – Integrated Logistics Support</w:t>
      </w:r>
    </w:p>
    <w:p>
      <w:pPr>
        <w:pStyle w:val="ListParagraph"/>
        <w:numPr>
          <w:ilvl w:val="0"/>
          <w:numId w:val="37"/>
        </w:numPr>
      </w:pPr>
      <w:r>
        <w:t>Section 5 – Security</w:t>
      </w:r>
    </w:p>
    <w:p>
      <w:pPr>
        <w:pStyle w:val="Heading1"/>
      </w:pPr>
      <w:bookmarkStart w:id="4" w:name="_Toc260245662"/>
      <w:r>
        <w:t>section 1 – technical solution</w:t>
      </w:r>
      <w:bookmarkEnd w:id="4"/>
    </w:p>
    <w:p>
      <w:pPr>
        <w:pStyle w:val="Heading3"/>
      </w:pPr>
      <w:r>
        <w:t>Infrastructure Equipment</w:t>
      </w:r>
    </w:p>
    <w:p>
      <w:r>
        <w:t xml:space="preserve">ManTech will provide support </w:t>
      </w:r>
      <w:r>
        <w:t>to the NATO Installation team</w:t>
      </w:r>
      <w:r>
        <w:t xml:space="preserve"> for the</w:t>
      </w:r>
      <w:r>
        <w:t xml:space="preserve"> support of the </w:t>
      </w:r>
      <w:r>
        <w:t>installation and implementation of the following equipment at the locations identified</w:t>
      </w:r>
      <w:r>
        <w:t xml:space="preserve"> in the Statement of Supplies and Services.</w:t>
      </w:r>
    </w:p>
    <w:p/>
    <w:tbl>
      <w:tblPr>
        <w:tblW w:w="6600" w:type="dxa"/>
        <w:tblInd w:w="1383" w:type="dxa"/>
        <w:tblLook w:val="04A0"/>
      </w:tblPr>
      <w:tblGrid>
        <w:gridCol w:w="5780"/>
        <w:gridCol w:w="820"/>
      </w:tblGrid>
      <w:tr>
        <w:trPr>
          <w:trHeight w:val="315"/>
        </w:trPr>
        <w:tc>
          <w:tcPr>
            <w:tcW w:w="5780" w:type="dxa"/>
            <w:tcBorders>
              <w:top w:val="single" w:sz="4" w:space="0" w:color="auto"/>
              <w:left w:val="single" w:sz="4" w:space="0" w:color="auto"/>
              <w:bottom w:val="single" w:sz="4" w:space="0" w:color="auto"/>
              <w:right w:val="single" w:sz="4" w:space="0" w:color="auto"/>
            </w:tcBorders>
            <w:shd w:val="clear" w:color="000000" w:fill="C0C0C0"/>
            <w:noWrap/>
            <w:hideMark/>
          </w:tcPr>
          <w:p>
            <w:pPr>
              <w:spacing w:before="0"/>
              <w:ind w:left="0"/>
              <w:rPr>
                <w:b/>
                <w:bCs/>
              </w:rPr>
            </w:pPr>
            <w:r>
              <w:rPr>
                <w:b/>
                <w:bCs/>
              </w:rPr>
              <w:t>VNOC (VTC Network Operation Centre)</w:t>
            </w:r>
          </w:p>
        </w:tc>
        <w:tc>
          <w:tcPr>
            <w:tcW w:w="820" w:type="dxa"/>
            <w:tcBorders>
              <w:top w:val="single" w:sz="4" w:space="0" w:color="auto"/>
              <w:left w:val="nil"/>
              <w:bottom w:val="single" w:sz="4" w:space="0" w:color="auto"/>
              <w:right w:val="single" w:sz="4" w:space="0" w:color="auto"/>
            </w:tcBorders>
            <w:shd w:val="clear" w:color="000000" w:fill="C0C0C0"/>
            <w:noWrap/>
            <w:hideMark/>
          </w:tcPr>
          <w:p>
            <w:pPr>
              <w:spacing w:before="0"/>
              <w:ind w:left="0"/>
              <w:jc w:val="center"/>
              <w:rPr>
                <w:b/>
                <w:bCs/>
              </w:rPr>
            </w:pPr>
            <w:r>
              <w:rPr>
                <w:b/>
                <w:bCs/>
              </w:rPr>
              <w:t> </w:t>
            </w:r>
          </w:p>
        </w:tc>
      </w:tr>
      <w:tr>
        <w:trPr>
          <w:trHeight w:val="1575"/>
        </w:trPr>
        <w:tc>
          <w:tcPr>
            <w:tcW w:w="5780" w:type="dxa"/>
            <w:tcBorders>
              <w:top w:val="nil"/>
              <w:left w:val="single" w:sz="4" w:space="0" w:color="auto"/>
              <w:bottom w:val="single" w:sz="4" w:space="0" w:color="auto"/>
              <w:right w:val="single" w:sz="4" w:space="0" w:color="auto"/>
            </w:tcBorders>
            <w:shd w:val="clear" w:color="auto" w:fill="auto"/>
            <w:hideMark/>
          </w:tcPr>
          <w:p>
            <w:pPr>
              <w:spacing w:before="0"/>
              <w:ind w:left="0"/>
            </w:pPr>
            <w:r>
              <w:t>Polycom CMA 5000 + 500 Devices includes appliance, Gatekeeper, Conference Monitoring, Scheduling (Web, Outlook, Lotus), Device  Mgmt; automatic software update , provisioning , support for CMAD, power cord kit outside US, Including Premier,one year.</w:t>
            </w:r>
          </w:p>
        </w:tc>
        <w:tc>
          <w:tcPr>
            <w:tcW w:w="820" w:type="dxa"/>
            <w:tcBorders>
              <w:top w:val="nil"/>
              <w:left w:val="nil"/>
              <w:bottom w:val="single" w:sz="4" w:space="0" w:color="auto"/>
              <w:right w:val="single" w:sz="4" w:space="0" w:color="auto"/>
            </w:tcBorders>
            <w:shd w:val="clear" w:color="auto" w:fill="auto"/>
            <w:noWrap/>
            <w:hideMark/>
          </w:tcPr>
          <w:p>
            <w:pPr>
              <w:spacing w:before="0"/>
              <w:ind w:left="0"/>
              <w:jc w:val="center"/>
            </w:pPr>
            <w:r>
              <w:t>2</w:t>
            </w:r>
          </w:p>
        </w:tc>
      </w:tr>
      <w:tr>
        <w:trPr>
          <w:trHeight w:val="945"/>
        </w:trPr>
        <w:tc>
          <w:tcPr>
            <w:tcW w:w="5780" w:type="dxa"/>
            <w:tcBorders>
              <w:top w:val="nil"/>
              <w:left w:val="single" w:sz="4" w:space="0" w:color="auto"/>
              <w:bottom w:val="single" w:sz="4" w:space="0" w:color="auto"/>
              <w:right w:val="single" w:sz="4" w:space="0" w:color="auto"/>
            </w:tcBorders>
            <w:shd w:val="clear" w:color="auto" w:fill="auto"/>
            <w:hideMark/>
          </w:tcPr>
          <w:p>
            <w:pPr>
              <w:spacing w:before="0"/>
              <w:ind w:left="0"/>
            </w:pPr>
            <w:r>
              <w:t>Redundant Appliance and license for any CMA 5000 solution up to 5000 licenses.  License for redundant solution included.</w:t>
            </w:r>
          </w:p>
        </w:tc>
        <w:tc>
          <w:tcPr>
            <w:tcW w:w="820" w:type="dxa"/>
            <w:tcBorders>
              <w:top w:val="nil"/>
              <w:left w:val="nil"/>
              <w:bottom w:val="single" w:sz="4" w:space="0" w:color="auto"/>
              <w:right w:val="single" w:sz="4" w:space="0" w:color="auto"/>
            </w:tcBorders>
            <w:shd w:val="clear" w:color="auto" w:fill="auto"/>
            <w:noWrap/>
            <w:hideMark/>
          </w:tcPr>
          <w:p>
            <w:pPr>
              <w:spacing w:before="0"/>
              <w:ind w:left="0"/>
              <w:jc w:val="center"/>
            </w:pPr>
            <w:r>
              <w:t>2</w:t>
            </w:r>
          </w:p>
        </w:tc>
      </w:tr>
      <w:tr>
        <w:trPr>
          <w:trHeight w:val="1260"/>
        </w:trPr>
        <w:tc>
          <w:tcPr>
            <w:tcW w:w="5780" w:type="dxa"/>
            <w:tcBorders>
              <w:top w:val="nil"/>
              <w:left w:val="single" w:sz="4" w:space="0" w:color="auto"/>
              <w:bottom w:val="single" w:sz="4" w:space="0" w:color="auto"/>
              <w:right w:val="single" w:sz="4" w:space="0" w:color="auto"/>
            </w:tcBorders>
            <w:shd w:val="clear" w:color="auto" w:fill="auto"/>
            <w:hideMark/>
          </w:tcPr>
          <w:p>
            <w:pPr>
              <w:spacing w:before="0"/>
              <w:ind w:left="0"/>
            </w:pPr>
            <w:r>
              <w:t xml:space="preserve">DMA 7000/2 RMX </w:t>
            </w:r>
            <w:r>
              <w:rPr>
                <w:b/>
                <w:bCs/>
                <w:i/>
                <w:iCs/>
              </w:rPr>
              <w:t>Single</w:t>
            </w:r>
            <w:r>
              <w:t xml:space="preserve"> Server Bundle.  Includes single application server, software, and 2 RMX 2000/4000 licenses, power cord kit outside US, Including Premier, one year.</w:t>
            </w:r>
          </w:p>
        </w:tc>
        <w:tc>
          <w:tcPr>
            <w:tcW w:w="820" w:type="dxa"/>
            <w:tcBorders>
              <w:top w:val="nil"/>
              <w:left w:val="nil"/>
              <w:bottom w:val="single" w:sz="4" w:space="0" w:color="auto"/>
              <w:right w:val="single" w:sz="4" w:space="0" w:color="auto"/>
            </w:tcBorders>
            <w:shd w:val="clear" w:color="auto" w:fill="auto"/>
            <w:noWrap/>
            <w:hideMark/>
          </w:tcPr>
          <w:p>
            <w:pPr>
              <w:spacing w:before="0"/>
              <w:ind w:left="0"/>
              <w:jc w:val="center"/>
            </w:pPr>
            <w:r>
              <w:t>1</w:t>
            </w:r>
          </w:p>
        </w:tc>
      </w:tr>
      <w:tr>
        <w:trPr>
          <w:trHeight w:val="315"/>
        </w:trPr>
        <w:tc>
          <w:tcPr>
            <w:tcW w:w="5780" w:type="dxa"/>
            <w:tcBorders>
              <w:top w:val="nil"/>
              <w:left w:val="single" w:sz="4" w:space="0" w:color="auto"/>
              <w:bottom w:val="single" w:sz="4" w:space="0" w:color="auto"/>
              <w:right w:val="single" w:sz="4" w:space="0" w:color="auto"/>
            </w:tcBorders>
            <w:shd w:val="clear" w:color="000000" w:fill="C0C0C0"/>
            <w:noWrap/>
            <w:hideMark/>
          </w:tcPr>
          <w:p>
            <w:pPr>
              <w:spacing w:before="0"/>
              <w:ind w:left="0"/>
              <w:rPr>
                <w:b/>
                <w:bCs/>
              </w:rPr>
            </w:pPr>
            <w:r>
              <w:rPr>
                <w:b/>
                <w:bCs/>
              </w:rPr>
              <w:lastRenderedPageBreak/>
              <w:t>VAN (VTC Access Node)</w:t>
            </w:r>
          </w:p>
        </w:tc>
        <w:tc>
          <w:tcPr>
            <w:tcW w:w="820" w:type="dxa"/>
            <w:tcBorders>
              <w:top w:val="nil"/>
              <w:left w:val="nil"/>
              <w:bottom w:val="single" w:sz="4" w:space="0" w:color="auto"/>
              <w:right w:val="single" w:sz="4" w:space="0" w:color="auto"/>
            </w:tcBorders>
            <w:shd w:val="clear" w:color="000000" w:fill="C0C0C0"/>
            <w:noWrap/>
            <w:hideMark/>
          </w:tcPr>
          <w:p>
            <w:pPr>
              <w:spacing w:before="0"/>
              <w:ind w:left="0"/>
              <w:jc w:val="center"/>
              <w:rPr>
                <w:b/>
                <w:bCs/>
              </w:rPr>
            </w:pPr>
            <w:r>
              <w:rPr>
                <w:b/>
                <w:bCs/>
              </w:rPr>
              <w:t> </w:t>
            </w:r>
          </w:p>
        </w:tc>
      </w:tr>
      <w:tr>
        <w:trPr>
          <w:trHeight w:val="1575"/>
        </w:trPr>
        <w:tc>
          <w:tcPr>
            <w:tcW w:w="5780" w:type="dxa"/>
            <w:tcBorders>
              <w:top w:val="nil"/>
              <w:left w:val="single" w:sz="4" w:space="0" w:color="auto"/>
              <w:bottom w:val="single" w:sz="4" w:space="0" w:color="auto"/>
              <w:right w:val="single" w:sz="4" w:space="0" w:color="auto"/>
            </w:tcBorders>
            <w:shd w:val="clear" w:color="auto" w:fill="auto"/>
            <w:hideMark/>
          </w:tcPr>
          <w:p>
            <w:pPr>
              <w:spacing w:before="0"/>
              <w:ind w:left="0"/>
            </w:pPr>
            <w:r>
              <w:t>VAN (VTC Access Node)</w:t>
            </w:r>
            <w:r>
              <w:br/>
              <w:t>RMX2000 10 HD/40 CIF resource configured &amp; licensed system, equipped with MPM+40 Media Processing Module and a Rear Transition Module for IP (RTM IP), Including Premier, one year.</w:t>
            </w:r>
          </w:p>
        </w:tc>
        <w:tc>
          <w:tcPr>
            <w:tcW w:w="820" w:type="dxa"/>
            <w:tcBorders>
              <w:top w:val="nil"/>
              <w:left w:val="nil"/>
              <w:bottom w:val="single" w:sz="4" w:space="0" w:color="auto"/>
              <w:right w:val="single" w:sz="4" w:space="0" w:color="auto"/>
            </w:tcBorders>
            <w:shd w:val="clear" w:color="auto" w:fill="auto"/>
            <w:noWrap/>
            <w:hideMark/>
          </w:tcPr>
          <w:p>
            <w:pPr>
              <w:spacing w:before="0"/>
              <w:ind w:left="0"/>
              <w:jc w:val="center"/>
            </w:pPr>
            <w:r>
              <w:t>4</w:t>
            </w:r>
          </w:p>
        </w:tc>
      </w:tr>
      <w:tr>
        <w:trPr>
          <w:trHeight w:val="315"/>
        </w:trPr>
        <w:tc>
          <w:tcPr>
            <w:tcW w:w="5780" w:type="dxa"/>
            <w:tcBorders>
              <w:top w:val="nil"/>
              <w:left w:val="single" w:sz="4" w:space="0" w:color="auto"/>
              <w:bottom w:val="single" w:sz="4" w:space="0" w:color="auto"/>
              <w:right w:val="single" w:sz="4" w:space="0" w:color="auto"/>
            </w:tcBorders>
            <w:shd w:val="clear" w:color="000000" w:fill="C0C0C0"/>
            <w:noWrap/>
            <w:hideMark/>
          </w:tcPr>
          <w:p>
            <w:pPr>
              <w:spacing w:before="0"/>
              <w:ind w:left="0"/>
              <w:rPr>
                <w:b/>
                <w:bCs/>
              </w:rPr>
            </w:pPr>
            <w:r>
              <w:rPr>
                <w:b/>
                <w:bCs/>
              </w:rPr>
              <w:t>BPD (Boundary Protection Device)</w:t>
            </w:r>
          </w:p>
        </w:tc>
        <w:tc>
          <w:tcPr>
            <w:tcW w:w="820" w:type="dxa"/>
            <w:tcBorders>
              <w:top w:val="nil"/>
              <w:left w:val="nil"/>
              <w:bottom w:val="single" w:sz="4" w:space="0" w:color="auto"/>
              <w:right w:val="single" w:sz="4" w:space="0" w:color="auto"/>
            </w:tcBorders>
            <w:shd w:val="clear" w:color="000000" w:fill="C0C0C0"/>
            <w:noWrap/>
            <w:hideMark/>
          </w:tcPr>
          <w:p>
            <w:pPr>
              <w:spacing w:before="0"/>
              <w:ind w:left="0"/>
              <w:jc w:val="center"/>
              <w:rPr>
                <w:b/>
                <w:bCs/>
              </w:rPr>
            </w:pPr>
            <w:r>
              <w:rPr>
                <w:b/>
                <w:bCs/>
              </w:rPr>
              <w:t> </w:t>
            </w:r>
          </w:p>
        </w:tc>
      </w:tr>
      <w:tr>
        <w:trPr>
          <w:trHeight w:val="1575"/>
        </w:trPr>
        <w:tc>
          <w:tcPr>
            <w:tcW w:w="5780" w:type="dxa"/>
            <w:tcBorders>
              <w:top w:val="nil"/>
              <w:left w:val="single" w:sz="4" w:space="0" w:color="auto"/>
              <w:bottom w:val="single" w:sz="4" w:space="0" w:color="auto"/>
              <w:right w:val="single" w:sz="4" w:space="0" w:color="auto"/>
            </w:tcBorders>
            <w:shd w:val="clear" w:color="auto" w:fill="auto"/>
            <w:hideMark/>
          </w:tcPr>
          <w:p>
            <w:pPr>
              <w:spacing w:before="0"/>
              <w:ind w:left="0"/>
            </w:pPr>
            <w:r>
              <w:t>VBP 5300-E10 Firewall/ NAT traversal unit for medium to large enterprise locations. This model includes 2 x 10/100/1000 Ethernet interfaces, a 1 x 10/100 Ethernet  with capacity of  10meg, power cord kit outside US, Including Premier, one year.</w:t>
            </w:r>
          </w:p>
        </w:tc>
        <w:tc>
          <w:tcPr>
            <w:tcW w:w="820" w:type="dxa"/>
            <w:tcBorders>
              <w:top w:val="nil"/>
              <w:left w:val="nil"/>
              <w:bottom w:val="single" w:sz="4" w:space="0" w:color="auto"/>
              <w:right w:val="single" w:sz="4" w:space="0" w:color="auto"/>
            </w:tcBorders>
            <w:shd w:val="clear" w:color="auto" w:fill="auto"/>
            <w:noWrap/>
            <w:hideMark/>
          </w:tcPr>
          <w:p>
            <w:pPr>
              <w:spacing w:before="0"/>
              <w:ind w:left="0"/>
              <w:jc w:val="center"/>
            </w:pPr>
            <w:r>
              <w:t>2</w:t>
            </w:r>
          </w:p>
        </w:tc>
      </w:tr>
    </w:tbl>
    <w:p>
      <w:pPr>
        <w:spacing w:beforeLines="60"/>
        <w:ind w:left="0"/>
      </w:pPr>
    </w:p>
    <w:p>
      <w:pPr>
        <w:pStyle w:val="Heading1"/>
        <w:tabs>
          <w:tab w:val="clear" w:pos="432"/>
          <w:tab w:val="num" w:pos="540"/>
        </w:tabs>
      </w:pPr>
      <w:bookmarkStart w:id="5" w:name="_Toc260245663"/>
      <w:r>
        <w:t xml:space="preserve">section 2 – </w:t>
      </w:r>
      <w:r>
        <w:t>Procurement</w:t>
      </w:r>
      <w:r>
        <w:t>/DELIVERY</w:t>
      </w:r>
      <w:r>
        <w:t xml:space="preserve"> plan</w:t>
      </w:r>
      <w:bookmarkEnd w:id="5"/>
    </w:p>
    <w:p>
      <w:pPr>
        <w:tabs>
          <w:tab w:val="num" w:pos="540"/>
        </w:tabs>
        <w:ind w:left="432"/>
      </w:pPr>
      <w:r>
        <w:t xml:space="preserve">Upon receipt of the fully executed contract from NC3A, ManTech will immediately take steps to procure the required equipment from Polycom.  Polycom has been notified that this equipment is essential to NATO operations in Afghanistan and </w:t>
      </w:r>
      <w:r>
        <w:t>has</w:t>
      </w:r>
      <w:r>
        <w:t xml:space="preserve"> been requested to expedite this order. </w:t>
      </w:r>
      <w:r>
        <w:t xml:space="preserve"> </w:t>
      </w:r>
    </w:p>
    <w:p>
      <w:pPr>
        <w:pStyle w:val="Heading2"/>
      </w:pPr>
      <w:bookmarkStart w:id="6" w:name="_Toc260245664"/>
      <w:r>
        <w:t xml:space="preserve">Phase I– </w:t>
      </w:r>
      <w:r>
        <w:t>Initial Configuration and Testing (SHAPE)</w:t>
      </w:r>
      <w:bookmarkEnd w:id="6"/>
    </w:p>
    <w:p>
      <w:pPr>
        <w:pStyle w:val="ListBullet5"/>
        <w:numPr>
          <w:ilvl w:val="0"/>
          <w:numId w:val="0"/>
        </w:numPr>
        <w:tabs>
          <w:tab w:val="left" w:pos="450"/>
        </w:tabs>
        <w:ind w:left="576"/>
      </w:pPr>
      <w:r>
        <w:t>Upon delivery of the equipment to the SHAPE warehouse, ManTech will dispatch it’s PM/Technician to provide support to NATO’s engineers during the configuration and testing phase.  Our technician is schedule to be on-site for 14 days in support of this requirement.</w:t>
      </w:r>
    </w:p>
    <w:p>
      <w:pPr>
        <w:pStyle w:val="Heading2"/>
      </w:pPr>
      <w:bookmarkStart w:id="7" w:name="_Toc260245665"/>
      <w:r>
        <w:t xml:space="preserve">Phase II – </w:t>
      </w:r>
      <w:r>
        <w:t>Installation and Implementation Support (Afghanistan)</w:t>
      </w:r>
      <w:bookmarkEnd w:id="7"/>
    </w:p>
    <w:p>
      <w:pPr>
        <w:ind w:left="576"/>
      </w:pPr>
      <w:r>
        <w:t xml:space="preserve">In Phase II, ManTech will </w:t>
      </w:r>
      <w:r>
        <w:t>prepare the equipment for shipment to an address specified by NATO in Afghanistan.  Upon shipment of the equipment, ManTech’s Technician/PM will deploy to Afghanistan to provide support to the NATO installation team.  Our technician is scheduled to be on-site in support of this requirement for a period of 42 days or 6 weeks.</w:t>
      </w:r>
    </w:p>
    <w:p>
      <w:pPr>
        <w:pStyle w:val="Heading2"/>
      </w:pPr>
      <w:bookmarkStart w:id="8" w:name="_Toc260245666"/>
      <w:r>
        <w:t>Project Timeline</w:t>
      </w:r>
      <w:bookmarkEnd w:id="8"/>
    </w:p>
    <w:p>
      <w:pPr>
        <w:pStyle w:val="ListBullet5"/>
        <w:numPr>
          <w:ilvl w:val="0"/>
          <w:numId w:val="0"/>
        </w:numPr>
        <w:tabs>
          <w:tab w:val="left" w:pos="1870"/>
        </w:tabs>
        <w:ind w:left="561"/>
      </w:pPr>
      <w:r>
        <w:t xml:space="preserve">The </w:t>
      </w:r>
      <w:r>
        <w:t>calendar</w:t>
      </w:r>
      <w:r>
        <w:t xml:space="preserve"> below shows our estimated timeline from start to finish.  ManTech will make every effort possible to adhere to timeline and </w:t>
      </w:r>
      <w:r>
        <w:t xml:space="preserve">to </w:t>
      </w:r>
      <w:r>
        <w:t>accelerate</w:t>
      </w:r>
      <w:r>
        <w:t xml:space="preserve"> it,</w:t>
      </w:r>
      <w:r>
        <w:t xml:space="preserve"> when possible.  </w:t>
      </w:r>
      <w:r>
        <w:t>Due to the urgency for delivery and installation of the equipment for this project, ManTech has requested that our manufacturer, Polycom expedite the processing of this order.</w:t>
      </w:r>
    </w:p>
    <w:p>
      <w:pPr>
        <w:pStyle w:val="ListBullet5"/>
        <w:numPr>
          <w:ilvl w:val="0"/>
          <w:numId w:val="0"/>
        </w:numPr>
        <w:tabs>
          <w:tab w:val="left" w:pos="1870"/>
        </w:tabs>
        <w:ind w:left="561"/>
      </w:pPr>
    </w:p>
    <w:p>
      <w:pPr>
        <w:pStyle w:val="ListBullet5"/>
        <w:numPr>
          <w:ilvl w:val="0"/>
          <w:numId w:val="0"/>
        </w:numPr>
        <w:tabs>
          <w:tab w:val="left" w:pos="1870"/>
        </w:tabs>
        <w:ind w:left="561"/>
      </w:pPr>
    </w:p>
    <w:p>
      <w:pPr>
        <w:pStyle w:val="ListBullet5"/>
        <w:numPr>
          <w:ilvl w:val="0"/>
          <w:numId w:val="0"/>
        </w:numPr>
        <w:tabs>
          <w:tab w:val="left" w:pos="1870"/>
        </w:tabs>
        <w:ind w:left="561"/>
      </w:pPr>
    </w:p>
    <w:p>
      <w:pPr>
        <w:pStyle w:val="ListBullet5"/>
        <w:numPr>
          <w:ilvl w:val="0"/>
          <w:numId w:val="0"/>
        </w:numPr>
        <w:tabs>
          <w:tab w:val="left" w:pos="1870"/>
        </w:tabs>
        <w:ind w:left="561"/>
      </w:pPr>
    </w:p>
    <w:p>
      <w:pPr>
        <w:pStyle w:val="ListBullet5"/>
        <w:numPr>
          <w:ilvl w:val="0"/>
          <w:numId w:val="0"/>
        </w:numPr>
        <w:tabs>
          <w:tab w:val="left" w:pos="1870"/>
        </w:tabs>
        <w:ind w:left="561"/>
      </w:pPr>
    </w:p>
    <w:p>
      <w:pPr>
        <w:pStyle w:val="ListBullet5"/>
        <w:numPr>
          <w:ilvl w:val="0"/>
          <w:numId w:val="0"/>
        </w:numPr>
        <w:tabs>
          <w:tab w:val="left" w:pos="1870"/>
        </w:tabs>
        <w:ind w:left="561"/>
      </w:pPr>
    </w:p>
    <w:p>
      <w:pPr>
        <w:pStyle w:val="ListBullet5"/>
        <w:numPr>
          <w:ilvl w:val="0"/>
          <w:numId w:val="0"/>
        </w:numPr>
        <w:tabs>
          <w:tab w:val="left" w:pos="1870"/>
        </w:tabs>
        <w:ind w:left="561"/>
      </w:pPr>
    </w:p>
    <w:p>
      <w:pPr>
        <w:pStyle w:val="ListBullet5"/>
        <w:numPr>
          <w:ilvl w:val="0"/>
          <w:numId w:val="0"/>
        </w:numPr>
        <w:tabs>
          <w:tab w:val="left" w:pos="1870"/>
        </w:tabs>
        <w:rPr>
          <w:noProof/>
        </w:rPr>
      </w:pPr>
    </w:p>
    <w:p>
      <w:pPr>
        <w:pStyle w:val="ListBullet5"/>
        <w:numPr>
          <w:ilvl w:val="0"/>
          <w:numId w:val="0"/>
        </w:numPr>
        <w:tabs>
          <w:tab w:val="left" w:pos="1870"/>
        </w:tabs>
      </w:pPr>
      <w:r>
        <w:rPr>
          <w:noProof/>
        </w:rPr>
        <w:drawing>
          <wp:inline distT="0" distB="0" distL="0" distR="0">
            <wp:extent cx="5935980" cy="3417570"/>
            <wp:effectExtent l="19050" t="0" r="762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935980" cy="3417570"/>
                    </a:xfrm>
                    <a:prstGeom prst="rect">
                      <a:avLst/>
                    </a:prstGeom>
                    <a:noFill/>
                    <a:ln w="9525">
                      <a:noFill/>
                      <a:miter lim="800000"/>
                      <a:headEnd/>
                      <a:tailEnd/>
                    </a:ln>
                  </pic:spPr>
                </pic:pic>
              </a:graphicData>
            </a:graphic>
          </wp:inline>
        </w:drawing>
      </w:r>
    </w:p>
    <w:p>
      <w:pPr>
        <w:pStyle w:val="ListBullet5"/>
        <w:numPr>
          <w:ilvl w:val="0"/>
          <w:numId w:val="0"/>
        </w:numPr>
        <w:tabs>
          <w:tab w:val="left" w:pos="1870"/>
        </w:tabs>
        <w:rPr>
          <w:noProof/>
        </w:rPr>
      </w:pPr>
      <w:r>
        <w:rPr>
          <w:noProof/>
        </w:rPr>
        <w:drawing>
          <wp:inline distT="0" distB="0" distL="0" distR="0">
            <wp:extent cx="5935980" cy="3392805"/>
            <wp:effectExtent l="19050" t="0" r="762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5935980" cy="3392805"/>
                    </a:xfrm>
                    <a:prstGeom prst="rect">
                      <a:avLst/>
                    </a:prstGeom>
                    <a:noFill/>
                    <a:ln w="9525">
                      <a:noFill/>
                      <a:miter lim="800000"/>
                      <a:headEnd/>
                      <a:tailEnd/>
                    </a:ln>
                  </pic:spPr>
                </pic:pic>
              </a:graphicData>
            </a:graphic>
          </wp:inline>
        </w:drawing>
      </w: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r>
        <w:rPr>
          <w:noProof/>
        </w:rPr>
        <w:lastRenderedPageBreak/>
        <w:drawing>
          <wp:inline distT="0" distB="0" distL="0" distR="0">
            <wp:extent cx="5941060" cy="3408045"/>
            <wp:effectExtent l="19050" t="0" r="2540" b="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5941060" cy="3408045"/>
                    </a:xfrm>
                    <a:prstGeom prst="rect">
                      <a:avLst/>
                    </a:prstGeom>
                    <a:noFill/>
                    <a:ln w="9525">
                      <a:noFill/>
                      <a:miter lim="800000"/>
                      <a:headEnd/>
                      <a:tailEnd/>
                    </a:ln>
                  </pic:spPr>
                </pic:pic>
              </a:graphicData>
            </a:graphic>
          </wp:inline>
        </w:drawing>
      </w:r>
    </w:p>
    <w:p>
      <w:pPr>
        <w:pStyle w:val="ListBullet5"/>
        <w:numPr>
          <w:ilvl w:val="0"/>
          <w:numId w:val="0"/>
        </w:numPr>
        <w:tabs>
          <w:tab w:val="left" w:pos="1870"/>
        </w:tabs>
        <w:rPr>
          <w:noProof/>
        </w:rPr>
      </w:pPr>
      <w:r>
        <w:rPr>
          <w:noProof/>
        </w:rPr>
        <w:drawing>
          <wp:inline distT="0" distB="0" distL="0" distR="0">
            <wp:extent cx="5946140" cy="3402965"/>
            <wp:effectExtent l="19050" t="0" r="0" b="0"/>
            <wp:docPr id="2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5946140" cy="3402965"/>
                    </a:xfrm>
                    <a:prstGeom prst="rect">
                      <a:avLst/>
                    </a:prstGeom>
                    <a:noFill/>
                    <a:ln w="9525">
                      <a:noFill/>
                      <a:miter lim="800000"/>
                      <a:headEnd/>
                      <a:tailEnd/>
                    </a:ln>
                  </pic:spPr>
                </pic:pic>
              </a:graphicData>
            </a:graphic>
          </wp:inline>
        </w:drawing>
      </w: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p>
    <w:p>
      <w:pPr>
        <w:pStyle w:val="ListBullet5"/>
        <w:numPr>
          <w:ilvl w:val="0"/>
          <w:numId w:val="0"/>
        </w:numPr>
        <w:tabs>
          <w:tab w:val="left" w:pos="1870"/>
        </w:tabs>
        <w:rPr>
          <w:noProof/>
        </w:rPr>
      </w:pPr>
      <w:r>
        <w:rPr>
          <w:noProof/>
        </w:rPr>
        <w:lastRenderedPageBreak/>
        <w:drawing>
          <wp:inline distT="0" distB="0" distL="0" distR="0">
            <wp:extent cx="5941060" cy="3402965"/>
            <wp:effectExtent l="19050" t="0" r="2540" b="0"/>
            <wp:docPr id="2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5941060" cy="3402965"/>
                    </a:xfrm>
                    <a:prstGeom prst="rect">
                      <a:avLst/>
                    </a:prstGeom>
                    <a:noFill/>
                    <a:ln w="9525">
                      <a:noFill/>
                      <a:miter lim="800000"/>
                      <a:headEnd/>
                      <a:tailEnd/>
                    </a:ln>
                  </pic:spPr>
                </pic:pic>
              </a:graphicData>
            </a:graphic>
          </wp:inline>
        </w:drawing>
      </w:r>
    </w:p>
    <w:p>
      <w:pPr>
        <w:pStyle w:val="ListBullet5"/>
        <w:numPr>
          <w:ilvl w:val="0"/>
          <w:numId w:val="0"/>
        </w:numPr>
        <w:tabs>
          <w:tab w:val="left" w:pos="1870"/>
        </w:tabs>
      </w:pPr>
      <w:r>
        <w:rPr>
          <w:noProof/>
        </w:rPr>
        <w:drawing>
          <wp:inline distT="0" distB="0" distL="0" distR="0">
            <wp:extent cx="5946140" cy="1788795"/>
            <wp:effectExtent l="19050" t="0" r="0" b="0"/>
            <wp:docPr id="2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srcRect/>
                    <a:stretch>
                      <a:fillRect/>
                    </a:stretch>
                  </pic:blipFill>
                  <pic:spPr bwMode="auto">
                    <a:xfrm>
                      <a:off x="0" y="0"/>
                      <a:ext cx="5946140" cy="1788795"/>
                    </a:xfrm>
                    <a:prstGeom prst="rect">
                      <a:avLst/>
                    </a:prstGeom>
                    <a:noFill/>
                    <a:ln w="9525">
                      <a:noFill/>
                      <a:miter lim="800000"/>
                      <a:headEnd/>
                      <a:tailEnd/>
                    </a:ln>
                  </pic:spPr>
                </pic:pic>
              </a:graphicData>
            </a:graphic>
          </wp:inline>
        </w:drawing>
      </w:r>
    </w:p>
    <w:p>
      <w:pPr>
        <w:ind w:left="1080"/>
        <w:rPr>
          <w:color w:val="0000FF"/>
        </w:rPr>
      </w:pPr>
    </w:p>
    <w:p>
      <w:pPr>
        <w:pStyle w:val="Heading1"/>
      </w:pPr>
      <w:r>
        <w:t xml:space="preserve"> </w:t>
      </w:r>
      <w:bookmarkStart w:id="9" w:name="_Toc260245667"/>
      <w:r>
        <w:t xml:space="preserve">SEction 3 - </w:t>
      </w:r>
      <w:r>
        <w:t>MANAGEMENT AND PROGRAM CONTROL</w:t>
      </w:r>
      <w:bookmarkEnd w:id="9"/>
    </w:p>
    <w:p>
      <w:pPr>
        <w:ind w:left="374"/>
      </w:pPr>
      <w:r>
        <w:t>Section 3</w:t>
      </w:r>
      <w:r>
        <w:t xml:space="preserve"> of the PIP outlines ManTech’s proposed approach to manage </w:t>
      </w:r>
      <w:r>
        <w:t>the AMN-VTC Project</w:t>
      </w:r>
      <w:r>
        <w:t xml:space="preserve"> from Effective Dates of contract (EDC) to Final Systems Acceptance. We </w:t>
      </w:r>
      <w:r>
        <w:t>are, per NC3A’s request, providing</w:t>
      </w:r>
      <w:r>
        <w:t xml:space="preserve"> the </w:t>
      </w:r>
      <w:r>
        <w:t>required</w:t>
      </w:r>
      <w:r>
        <w:t xml:space="preserve"> staff</w:t>
      </w:r>
      <w:r>
        <w:t>ing</w:t>
      </w:r>
      <w:r>
        <w:t xml:space="preserve"> to achieve </w:t>
      </w:r>
      <w:r>
        <w:t xml:space="preserve">the </w:t>
      </w:r>
      <w:r>
        <w:t>SOW</w:t>
      </w:r>
      <w:r>
        <w:t xml:space="preserve"> requirements. ManTech will use various software and scheduling tools as required.  Our planning is based on the use of a detailed WBS and inputting all critical data in Microsoft Project to create a timeline that is manageable.</w:t>
      </w:r>
    </w:p>
    <w:p>
      <w:pPr>
        <w:pStyle w:val="Heading2"/>
      </w:pPr>
      <w:bookmarkStart w:id="10" w:name="_Toc260245668"/>
      <w:r>
        <w:t xml:space="preserve">The ManTech </w:t>
      </w:r>
      <w:r>
        <w:t>T</w:t>
      </w:r>
      <w:r>
        <w:t>eam</w:t>
      </w:r>
      <w:bookmarkEnd w:id="10"/>
      <w:r>
        <w:t xml:space="preserve"> </w:t>
      </w:r>
    </w:p>
    <w:p>
      <w:pPr>
        <w:ind w:left="576"/>
      </w:pPr>
      <w:r>
        <w:t xml:space="preserve">The basic foundation of our approach </w:t>
      </w:r>
      <w:r>
        <w:t xml:space="preserve">included </w:t>
      </w:r>
      <w:r>
        <w:t>select</w:t>
      </w:r>
      <w:r>
        <w:t>ing</w:t>
      </w:r>
      <w:r>
        <w:t xml:space="preserve"> the right people, with the right skills, to get the job done.  In doing this, we have selected a seasoned Project Manager (PM) </w:t>
      </w:r>
      <w:r>
        <w:t>Steve Schoenfelt</w:t>
      </w:r>
      <w:r>
        <w:t xml:space="preserve">.  Our PM will serve as your single point of contact (POC).  He will be responsive to your needs and responsible for managing all aspects of the contract.  To </w:t>
      </w:r>
      <w:r>
        <w:lastRenderedPageBreak/>
        <w:t xml:space="preserve">execute this contract, our PM will </w:t>
      </w:r>
      <w:r>
        <w:t>provide direct support for the installation and implementation of the equipment specified in the SSS.</w:t>
      </w:r>
    </w:p>
    <w:p>
      <w:pPr>
        <w:pStyle w:val="ListBullet5"/>
        <w:numPr>
          <w:ilvl w:val="0"/>
          <w:numId w:val="0"/>
        </w:numPr>
        <w:ind w:left="1440"/>
      </w:pPr>
    </w:p>
    <w:p>
      <w:pPr>
        <w:pStyle w:val="Heading2"/>
      </w:pPr>
      <w:bookmarkStart w:id="11" w:name="_Toc260245669"/>
      <w:r>
        <w:t>Risk Management</w:t>
      </w:r>
      <w:bookmarkEnd w:id="11"/>
    </w:p>
    <w:p>
      <w:pPr>
        <w:pStyle w:val="Heading3"/>
      </w:pPr>
      <w:r>
        <w:t>Process</w:t>
      </w:r>
    </w:p>
    <w:p>
      <w:r>
        <w:t>Risk Management is the process of measuring, or assessing risk, and then developing strategies to manage that risk.  Our risk management plan must consider risks during all stag</w:t>
      </w:r>
      <w:r>
        <w:t>es of the contract.  Each step is</w:t>
      </w:r>
      <w:r>
        <w:t xml:space="preserve"> incrementally implemented and </w:t>
      </w:r>
      <w:r>
        <w:t>is</w:t>
      </w:r>
      <w:r>
        <w:t xml:space="preserve"> described in detail below. </w:t>
      </w:r>
      <w:r>
        <w:t>In the event that any r</w:t>
      </w:r>
      <w:r>
        <w:t>isks and</w:t>
      </w:r>
      <w:r>
        <w:t>/or</w:t>
      </w:r>
      <w:r>
        <w:t xml:space="preserve"> issue</w:t>
      </w:r>
      <w:r>
        <w:t>s</w:t>
      </w:r>
      <w:r>
        <w:t xml:space="preserve"> </w:t>
      </w:r>
      <w:r>
        <w:t>are identified they will</w:t>
      </w:r>
      <w:r>
        <w:t xml:space="preserve"> be reported in Project Check Point Reports</w:t>
      </w:r>
      <w:r>
        <w:t>.</w:t>
      </w:r>
    </w:p>
    <w:p>
      <w:pPr>
        <w:jc w:val="center"/>
      </w:pPr>
      <w:r>
        <w:object w:dxaOrig="9055" w:dyaOrig="42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3pt;height:169.55pt" o:ole="">
            <v:imagedata r:id="rId18" o:title="" cropbottom="453f"/>
          </v:shape>
          <o:OLEObject Type="Embed" ProgID="Visio.Drawing.11" ShapeID="_x0000_i1025" DrawAspect="Content" ObjectID="_1333989225" r:id="rId19"/>
        </w:object>
      </w:r>
    </w:p>
    <w:p>
      <w:pPr>
        <w:keepNext/>
        <w:jc w:val="center"/>
        <w:rPr>
          <w:b/>
          <w:sz w:val="20"/>
          <w:szCs w:val="20"/>
        </w:rPr>
      </w:pPr>
      <w:r>
        <w:rPr>
          <w:b/>
          <w:sz w:val="20"/>
          <w:szCs w:val="20"/>
        </w:rPr>
        <w:t xml:space="preserve">Figure </w:t>
      </w:r>
      <w:r>
        <w:rPr>
          <w:b/>
          <w:sz w:val="20"/>
          <w:szCs w:val="20"/>
        </w:rPr>
        <w:fldChar w:fldCharType="begin"/>
      </w:r>
      <w:r>
        <w:rPr>
          <w:b/>
          <w:sz w:val="20"/>
          <w:szCs w:val="20"/>
        </w:rPr>
        <w:instrText xml:space="preserve"> SEQ Figure \* ARABIC </w:instrText>
      </w:r>
      <w:r>
        <w:rPr>
          <w:b/>
          <w:sz w:val="20"/>
          <w:szCs w:val="20"/>
        </w:rPr>
        <w:fldChar w:fldCharType="separate"/>
      </w:r>
      <w:r>
        <w:rPr>
          <w:b/>
          <w:noProof/>
          <w:sz w:val="20"/>
          <w:szCs w:val="20"/>
        </w:rPr>
        <w:t>2</w:t>
      </w:r>
      <w:r>
        <w:rPr>
          <w:b/>
          <w:sz w:val="20"/>
          <w:szCs w:val="20"/>
        </w:rPr>
        <w:fldChar w:fldCharType="end"/>
      </w:r>
      <w:r>
        <w:rPr>
          <w:b/>
          <w:sz w:val="20"/>
          <w:szCs w:val="20"/>
        </w:rPr>
        <w:t>. This Risk Management process is a continuous flow where new and existing risks are identified and addressed.</w:t>
      </w:r>
    </w:p>
    <w:p/>
    <w:tbl>
      <w:tblPr>
        <w:tblStyle w:val="TableGrid"/>
        <w:tblW w:w="8640" w:type="dxa"/>
        <w:jc w:val="center"/>
        <w:tblLook w:val="01E0"/>
      </w:tblPr>
      <w:tblGrid>
        <w:gridCol w:w="2632"/>
        <w:gridCol w:w="6008"/>
      </w:tblGrid>
      <w:tr>
        <w:trPr>
          <w:jc w:val="center"/>
        </w:trPr>
        <w:tc>
          <w:tcPr>
            <w:tcW w:w="2632" w:type="dxa"/>
            <w:tcBorders>
              <w:top w:val="double" w:sz="4" w:space="0" w:color="auto"/>
              <w:left w:val="double" w:sz="4" w:space="0" w:color="auto"/>
              <w:bottom w:val="double" w:sz="4" w:space="0" w:color="auto"/>
              <w:right w:val="single" w:sz="4" w:space="0" w:color="FFFFFF"/>
            </w:tcBorders>
            <w:shd w:val="clear" w:color="auto" w:fill="000080"/>
          </w:tcPr>
          <w:p>
            <w:pPr>
              <w:ind w:left="79"/>
              <w:jc w:val="center"/>
              <w:rPr>
                <w:rFonts w:ascii="Times New Roman Bold" w:hAnsi="Times New Roman Bold"/>
                <w:b/>
                <w:caps/>
                <w:color w:val="FFFFFF"/>
                <w:sz w:val="20"/>
                <w:szCs w:val="20"/>
              </w:rPr>
            </w:pPr>
            <w:r>
              <w:rPr>
                <w:rFonts w:ascii="Times New Roman Bold" w:hAnsi="Times New Roman Bold"/>
                <w:b/>
                <w:caps/>
                <w:color w:val="FFFFFF"/>
                <w:sz w:val="20"/>
                <w:szCs w:val="20"/>
              </w:rPr>
              <w:t xml:space="preserve">Risk Management </w:t>
            </w:r>
            <w:r>
              <w:rPr>
                <w:rFonts w:ascii="Times New Roman Bold" w:hAnsi="Times New Roman Bold"/>
                <w:b/>
                <w:caps/>
                <w:color w:val="FFFFFF"/>
                <w:sz w:val="20"/>
                <w:szCs w:val="20"/>
              </w:rPr>
              <w:t>s</w:t>
            </w:r>
            <w:r>
              <w:rPr>
                <w:rFonts w:ascii="Times New Roman Bold" w:hAnsi="Times New Roman Bold"/>
                <w:b/>
                <w:caps/>
                <w:color w:val="FFFFFF"/>
                <w:sz w:val="20"/>
                <w:szCs w:val="20"/>
              </w:rPr>
              <w:t>tep</w:t>
            </w:r>
          </w:p>
        </w:tc>
        <w:tc>
          <w:tcPr>
            <w:tcW w:w="6008" w:type="dxa"/>
            <w:tcBorders>
              <w:top w:val="double" w:sz="4" w:space="0" w:color="auto"/>
              <w:left w:val="single" w:sz="4" w:space="0" w:color="FFFFFF"/>
              <w:bottom w:val="double" w:sz="4" w:space="0" w:color="auto"/>
              <w:right w:val="double" w:sz="4" w:space="0" w:color="auto"/>
            </w:tcBorders>
            <w:shd w:val="clear" w:color="auto" w:fill="000080"/>
          </w:tcPr>
          <w:p>
            <w:pPr>
              <w:ind w:left="66"/>
              <w:jc w:val="center"/>
              <w:rPr>
                <w:rFonts w:ascii="Times New Roman Bold" w:hAnsi="Times New Roman Bold"/>
                <w:b/>
                <w:caps/>
                <w:color w:val="FFFFFF"/>
                <w:sz w:val="20"/>
                <w:szCs w:val="20"/>
              </w:rPr>
            </w:pPr>
            <w:r>
              <w:rPr>
                <w:rFonts w:ascii="Times New Roman Bold" w:hAnsi="Times New Roman Bold"/>
                <w:b/>
                <w:caps/>
                <w:color w:val="FFFFFF"/>
                <w:sz w:val="20"/>
                <w:szCs w:val="20"/>
              </w:rPr>
              <w:t>Risk Management Activity</w:t>
            </w:r>
          </w:p>
        </w:tc>
      </w:tr>
      <w:tr>
        <w:trPr>
          <w:jc w:val="center"/>
        </w:trPr>
        <w:tc>
          <w:tcPr>
            <w:tcW w:w="2632" w:type="dxa"/>
            <w:tcBorders>
              <w:top w:val="double" w:sz="4" w:space="0" w:color="auto"/>
              <w:left w:val="double" w:sz="4" w:space="0" w:color="auto"/>
              <w:bottom w:val="single" w:sz="4" w:space="0" w:color="auto"/>
            </w:tcBorders>
          </w:tcPr>
          <w:p>
            <w:pPr>
              <w:ind w:left="0"/>
              <w:rPr>
                <w:b/>
                <w:sz w:val="20"/>
                <w:szCs w:val="20"/>
              </w:rPr>
            </w:pPr>
            <w:r>
              <w:rPr>
                <w:b/>
                <w:sz w:val="20"/>
                <w:szCs w:val="20"/>
              </w:rPr>
              <w:t>Identify</w:t>
            </w:r>
          </w:p>
        </w:tc>
        <w:tc>
          <w:tcPr>
            <w:tcW w:w="6008" w:type="dxa"/>
            <w:tcBorders>
              <w:top w:val="double" w:sz="4" w:space="0" w:color="auto"/>
              <w:bottom w:val="single" w:sz="4" w:space="0" w:color="auto"/>
              <w:right w:val="double" w:sz="4" w:space="0" w:color="auto"/>
            </w:tcBorders>
          </w:tcPr>
          <w:p>
            <w:pPr>
              <w:ind w:left="66"/>
              <w:rPr>
                <w:sz w:val="20"/>
                <w:szCs w:val="20"/>
              </w:rPr>
            </w:pPr>
            <w:r>
              <w:rPr>
                <w:sz w:val="20"/>
                <w:szCs w:val="20"/>
              </w:rPr>
              <w:t xml:space="preserve">Identify any and all risks associated with the project. </w:t>
            </w:r>
          </w:p>
        </w:tc>
      </w:tr>
      <w:tr>
        <w:trPr>
          <w:jc w:val="center"/>
        </w:trPr>
        <w:tc>
          <w:tcPr>
            <w:tcW w:w="2632" w:type="dxa"/>
            <w:tcBorders>
              <w:left w:val="double" w:sz="4" w:space="0" w:color="auto"/>
            </w:tcBorders>
            <w:shd w:val="clear" w:color="auto" w:fill="E6E6E6"/>
          </w:tcPr>
          <w:p>
            <w:pPr>
              <w:ind w:left="0"/>
              <w:rPr>
                <w:b/>
                <w:sz w:val="20"/>
                <w:szCs w:val="20"/>
              </w:rPr>
            </w:pPr>
            <w:r>
              <w:rPr>
                <w:b/>
                <w:sz w:val="20"/>
                <w:szCs w:val="20"/>
              </w:rPr>
              <w:t>Analyze</w:t>
            </w:r>
          </w:p>
        </w:tc>
        <w:tc>
          <w:tcPr>
            <w:tcW w:w="6008" w:type="dxa"/>
            <w:tcBorders>
              <w:right w:val="double" w:sz="4" w:space="0" w:color="auto"/>
            </w:tcBorders>
            <w:shd w:val="clear" w:color="auto" w:fill="E6E6E6"/>
          </w:tcPr>
          <w:p>
            <w:pPr>
              <w:ind w:left="66"/>
              <w:rPr>
                <w:sz w:val="20"/>
                <w:szCs w:val="20"/>
              </w:rPr>
            </w:pPr>
            <w:r>
              <w:rPr>
                <w:sz w:val="20"/>
                <w:szCs w:val="20"/>
              </w:rPr>
              <w:t>Assess the magnitude and impact of the risks.</w:t>
            </w:r>
          </w:p>
        </w:tc>
      </w:tr>
      <w:tr>
        <w:trPr>
          <w:jc w:val="center"/>
        </w:trPr>
        <w:tc>
          <w:tcPr>
            <w:tcW w:w="2632" w:type="dxa"/>
            <w:tcBorders>
              <w:left w:val="double" w:sz="4" w:space="0" w:color="auto"/>
              <w:bottom w:val="single" w:sz="4" w:space="0" w:color="auto"/>
            </w:tcBorders>
          </w:tcPr>
          <w:p>
            <w:pPr>
              <w:ind w:left="0"/>
              <w:rPr>
                <w:b/>
                <w:sz w:val="20"/>
                <w:szCs w:val="20"/>
              </w:rPr>
            </w:pPr>
            <w:r>
              <w:rPr>
                <w:b/>
                <w:sz w:val="20"/>
                <w:szCs w:val="20"/>
              </w:rPr>
              <w:t>Plan &amp; Implement</w:t>
            </w:r>
          </w:p>
        </w:tc>
        <w:tc>
          <w:tcPr>
            <w:tcW w:w="6008" w:type="dxa"/>
            <w:tcBorders>
              <w:bottom w:val="single" w:sz="4" w:space="0" w:color="auto"/>
              <w:right w:val="double" w:sz="4" w:space="0" w:color="auto"/>
            </w:tcBorders>
          </w:tcPr>
          <w:p>
            <w:pPr>
              <w:ind w:left="74"/>
              <w:rPr>
                <w:sz w:val="20"/>
                <w:szCs w:val="20"/>
              </w:rPr>
            </w:pPr>
            <w:r>
              <w:rPr>
                <w:sz w:val="20"/>
                <w:szCs w:val="20"/>
              </w:rPr>
              <w:t>Develop strategies for pre-empting and treating the occurrence of a risk.  Generally, those strategies decided upon fall into several categories; specifically, Avoidance, Reduction, Acceptance, and/or Transfer.</w:t>
            </w:r>
          </w:p>
        </w:tc>
      </w:tr>
      <w:tr>
        <w:trPr>
          <w:jc w:val="center"/>
        </w:trPr>
        <w:tc>
          <w:tcPr>
            <w:tcW w:w="2632" w:type="dxa"/>
            <w:tcBorders>
              <w:left w:val="double" w:sz="4" w:space="0" w:color="auto"/>
            </w:tcBorders>
            <w:shd w:val="clear" w:color="auto" w:fill="E6E6E6"/>
          </w:tcPr>
          <w:p>
            <w:pPr>
              <w:ind w:left="0"/>
              <w:jc w:val="right"/>
              <w:rPr>
                <w:sz w:val="20"/>
                <w:szCs w:val="20"/>
              </w:rPr>
            </w:pPr>
            <w:r>
              <w:rPr>
                <w:sz w:val="20"/>
                <w:szCs w:val="20"/>
              </w:rPr>
              <w:t xml:space="preserve">- </w:t>
            </w:r>
            <w:r>
              <w:rPr>
                <w:sz w:val="20"/>
                <w:szCs w:val="20"/>
              </w:rPr>
              <w:t>Risk Avoidance</w:t>
            </w:r>
          </w:p>
        </w:tc>
        <w:tc>
          <w:tcPr>
            <w:tcW w:w="6008" w:type="dxa"/>
            <w:tcBorders>
              <w:right w:val="double" w:sz="4" w:space="0" w:color="auto"/>
            </w:tcBorders>
            <w:shd w:val="clear" w:color="auto" w:fill="E6E6E6"/>
          </w:tcPr>
          <w:p>
            <w:pPr>
              <w:rPr>
                <w:sz w:val="20"/>
                <w:szCs w:val="20"/>
              </w:rPr>
            </w:pPr>
            <w:r>
              <w:rPr>
                <w:sz w:val="20"/>
                <w:szCs w:val="20"/>
              </w:rPr>
              <w:t xml:space="preserve">Risk Avoidance includes not performing an activity that could carry risk.  While risk avoidance may seem to be the preferred approach, avoiding all risks could result in the missing out of potential gains.     </w:t>
            </w:r>
          </w:p>
        </w:tc>
      </w:tr>
      <w:tr>
        <w:trPr>
          <w:jc w:val="center"/>
        </w:trPr>
        <w:tc>
          <w:tcPr>
            <w:tcW w:w="2632" w:type="dxa"/>
            <w:tcBorders>
              <w:left w:val="double" w:sz="4" w:space="0" w:color="auto"/>
              <w:bottom w:val="single" w:sz="4" w:space="0" w:color="auto"/>
            </w:tcBorders>
          </w:tcPr>
          <w:p>
            <w:pPr>
              <w:ind w:left="0"/>
              <w:jc w:val="right"/>
              <w:rPr>
                <w:sz w:val="20"/>
                <w:szCs w:val="20"/>
              </w:rPr>
            </w:pPr>
            <w:r>
              <w:rPr>
                <w:sz w:val="20"/>
                <w:szCs w:val="20"/>
              </w:rPr>
              <w:t xml:space="preserve">- </w:t>
            </w:r>
            <w:r>
              <w:rPr>
                <w:sz w:val="20"/>
                <w:szCs w:val="20"/>
              </w:rPr>
              <w:t>Risk Reduction</w:t>
            </w:r>
          </w:p>
        </w:tc>
        <w:tc>
          <w:tcPr>
            <w:tcW w:w="6008" w:type="dxa"/>
            <w:tcBorders>
              <w:bottom w:val="single" w:sz="4" w:space="0" w:color="auto"/>
              <w:right w:val="double" w:sz="4" w:space="0" w:color="auto"/>
            </w:tcBorders>
          </w:tcPr>
          <w:p>
            <w:pPr>
              <w:rPr>
                <w:sz w:val="20"/>
                <w:szCs w:val="20"/>
              </w:rPr>
            </w:pPr>
            <w:r>
              <w:rPr>
                <w:sz w:val="20"/>
                <w:szCs w:val="20"/>
              </w:rPr>
              <w:t>Risk Reduction involves employing methods that deal with risks, but reduce the severity of a projected loss</w:t>
            </w:r>
          </w:p>
        </w:tc>
      </w:tr>
      <w:tr>
        <w:trPr>
          <w:jc w:val="center"/>
        </w:trPr>
        <w:tc>
          <w:tcPr>
            <w:tcW w:w="2632" w:type="dxa"/>
            <w:tcBorders>
              <w:left w:val="double" w:sz="4" w:space="0" w:color="auto"/>
            </w:tcBorders>
            <w:shd w:val="clear" w:color="auto" w:fill="E6E6E6"/>
          </w:tcPr>
          <w:p>
            <w:pPr>
              <w:ind w:left="0"/>
              <w:jc w:val="right"/>
              <w:rPr>
                <w:sz w:val="20"/>
                <w:szCs w:val="20"/>
              </w:rPr>
            </w:pPr>
            <w:r>
              <w:rPr>
                <w:sz w:val="20"/>
                <w:szCs w:val="20"/>
              </w:rPr>
              <w:t xml:space="preserve">- </w:t>
            </w:r>
            <w:r>
              <w:rPr>
                <w:sz w:val="20"/>
                <w:szCs w:val="20"/>
              </w:rPr>
              <w:t>Risk Acceptance</w:t>
            </w:r>
          </w:p>
        </w:tc>
        <w:tc>
          <w:tcPr>
            <w:tcW w:w="6008" w:type="dxa"/>
            <w:tcBorders>
              <w:right w:val="double" w:sz="4" w:space="0" w:color="auto"/>
            </w:tcBorders>
            <w:shd w:val="clear" w:color="auto" w:fill="E6E6E6"/>
          </w:tcPr>
          <w:p>
            <w:pPr>
              <w:rPr>
                <w:sz w:val="20"/>
                <w:szCs w:val="20"/>
              </w:rPr>
            </w:pPr>
            <w:r>
              <w:rPr>
                <w:sz w:val="20"/>
                <w:szCs w:val="20"/>
              </w:rPr>
              <w:t>Risk Acceptance involves accepting a loss when it occurs.  This strategy is viable for small risks where the cost of insuring against the risk would be greater over time than the total losses sustained.</w:t>
            </w:r>
          </w:p>
        </w:tc>
      </w:tr>
      <w:tr>
        <w:trPr>
          <w:jc w:val="center"/>
        </w:trPr>
        <w:tc>
          <w:tcPr>
            <w:tcW w:w="2632" w:type="dxa"/>
            <w:tcBorders>
              <w:left w:val="double" w:sz="4" w:space="0" w:color="auto"/>
              <w:bottom w:val="single" w:sz="4" w:space="0" w:color="auto"/>
            </w:tcBorders>
          </w:tcPr>
          <w:p>
            <w:pPr>
              <w:ind w:left="0"/>
              <w:jc w:val="right"/>
              <w:rPr>
                <w:sz w:val="20"/>
                <w:szCs w:val="20"/>
              </w:rPr>
            </w:pPr>
            <w:r>
              <w:rPr>
                <w:sz w:val="20"/>
                <w:szCs w:val="20"/>
              </w:rPr>
              <w:lastRenderedPageBreak/>
              <w:t xml:space="preserve">- </w:t>
            </w:r>
            <w:r>
              <w:rPr>
                <w:sz w:val="20"/>
                <w:szCs w:val="20"/>
              </w:rPr>
              <w:t>Risk Transfer</w:t>
            </w:r>
          </w:p>
        </w:tc>
        <w:tc>
          <w:tcPr>
            <w:tcW w:w="6008" w:type="dxa"/>
            <w:tcBorders>
              <w:bottom w:val="single" w:sz="4" w:space="0" w:color="auto"/>
              <w:right w:val="double" w:sz="4" w:space="0" w:color="auto"/>
            </w:tcBorders>
          </w:tcPr>
          <w:p>
            <w:pPr>
              <w:rPr>
                <w:sz w:val="20"/>
                <w:szCs w:val="20"/>
              </w:rPr>
            </w:pPr>
            <w:r>
              <w:rPr>
                <w:sz w:val="20"/>
                <w:szCs w:val="20"/>
              </w:rPr>
              <w:t>Risk Transfer involves causing another entity to accept the risk.  Typically, this transfer results in the issuance of an insurance policy.</w:t>
            </w:r>
          </w:p>
        </w:tc>
      </w:tr>
      <w:tr>
        <w:trPr>
          <w:jc w:val="center"/>
        </w:trPr>
        <w:tc>
          <w:tcPr>
            <w:tcW w:w="2632" w:type="dxa"/>
            <w:tcBorders>
              <w:left w:val="double" w:sz="4" w:space="0" w:color="auto"/>
            </w:tcBorders>
            <w:shd w:val="clear" w:color="auto" w:fill="E6E6E6"/>
          </w:tcPr>
          <w:p>
            <w:pPr>
              <w:ind w:left="0"/>
              <w:rPr>
                <w:b/>
                <w:sz w:val="20"/>
                <w:szCs w:val="20"/>
              </w:rPr>
            </w:pPr>
            <w:r>
              <w:rPr>
                <w:b/>
                <w:sz w:val="20"/>
                <w:szCs w:val="20"/>
              </w:rPr>
              <w:t>Track and Report</w:t>
            </w:r>
          </w:p>
        </w:tc>
        <w:tc>
          <w:tcPr>
            <w:tcW w:w="6008" w:type="dxa"/>
            <w:tcBorders>
              <w:right w:val="double" w:sz="4" w:space="0" w:color="auto"/>
            </w:tcBorders>
            <w:shd w:val="clear" w:color="auto" w:fill="E6E6E6"/>
          </w:tcPr>
          <w:p>
            <w:pPr>
              <w:ind w:left="66"/>
              <w:rPr>
                <w:sz w:val="20"/>
                <w:szCs w:val="20"/>
              </w:rPr>
            </w:pPr>
            <w:r>
              <w:rPr>
                <w:sz w:val="20"/>
                <w:szCs w:val="20"/>
              </w:rPr>
              <w:t>Detail responsibility for managing a risk and document risk parameters.</w:t>
            </w:r>
          </w:p>
        </w:tc>
      </w:tr>
      <w:tr>
        <w:trPr>
          <w:jc w:val="center"/>
        </w:trPr>
        <w:tc>
          <w:tcPr>
            <w:tcW w:w="2632" w:type="dxa"/>
            <w:tcBorders>
              <w:left w:val="double" w:sz="4" w:space="0" w:color="auto"/>
              <w:bottom w:val="double" w:sz="4" w:space="0" w:color="auto"/>
            </w:tcBorders>
          </w:tcPr>
          <w:p>
            <w:pPr>
              <w:ind w:left="0"/>
              <w:rPr>
                <w:b/>
                <w:sz w:val="20"/>
                <w:szCs w:val="20"/>
              </w:rPr>
            </w:pPr>
            <w:r>
              <w:rPr>
                <w:b/>
                <w:sz w:val="20"/>
                <w:szCs w:val="20"/>
              </w:rPr>
              <w:t>Monitor and Control</w:t>
            </w:r>
          </w:p>
        </w:tc>
        <w:tc>
          <w:tcPr>
            <w:tcW w:w="6008" w:type="dxa"/>
            <w:tcBorders>
              <w:bottom w:val="double" w:sz="4" w:space="0" w:color="auto"/>
              <w:right w:val="double" w:sz="4" w:space="0" w:color="auto"/>
            </w:tcBorders>
          </w:tcPr>
          <w:p>
            <w:pPr>
              <w:ind w:left="66"/>
              <w:rPr>
                <w:sz w:val="20"/>
                <w:szCs w:val="20"/>
              </w:rPr>
            </w:pPr>
            <w:r>
              <w:rPr>
                <w:sz w:val="20"/>
                <w:szCs w:val="20"/>
              </w:rPr>
              <w:t>Implement strategy to address identified risks and monitor progress.</w:t>
            </w:r>
          </w:p>
        </w:tc>
      </w:tr>
    </w:tbl>
    <w:p>
      <w:pPr>
        <w:pStyle w:val="Heading4"/>
      </w:pPr>
      <w:r>
        <w:t>Risk Log</w:t>
      </w:r>
    </w:p>
    <w:p>
      <w:r>
        <w:t xml:space="preserve">The Risk Log is a coordinated package that documents risk, its impact on the program (e.g. cost, schedule, and mission), responsible party, and steps to address the risk given the stated likelihood, impact and consequences.  </w:t>
      </w:r>
    </w:p>
    <w:p>
      <w:pPr>
        <w:jc w:val="center"/>
      </w:pPr>
      <w:r>
        <w:rPr>
          <w:noProof/>
        </w:rPr>
        <w:drawing>
          <wp:inline distT="0" distB="0" distL="0" distR="0">
            <wp:extent cx="3902710" cy="2608580"/>
            <wp:effectExtent l="19050" t="0" r="2540"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srcRect/>
                    <a:stretch>
                      <a:fillRect/>
                    </a:stretch>
                  </pic:blipFill>
                  <pic:spPr bwMode="auto">
                    <a:xfrm>
                      <a:off x="0" y="0"/>
                      <a:ext cx="3902710" cy="2608580"/>
                    </a:xfrm>
                    <a:prstGeom prst="rect">
                      <a:avLst/>
                    </a:prstGeom>
                    <a:noFill/>
                    <a:ln w="9525">
                      <a:noFill/>
                      <a:miter lim="800000"/>
                      <a:headEnd/>
                      <a:tailEnd/>
                    </a:ln>
                  </pic:spPr>
                </pic:pic>
              </a:graphicData>
            </a:graphic>
          </wp:inline>
        </w:drawing>
      </w:r>
    </w:p>
    <w:p>
      <w:pPr>
        <w:jc w:val="center"/>
      </w:pPr>
    </w:p>
    <w:p>
      <w:pPr>
        <w:jc w:val="center"/>
      </w:pPr>
      <w:r>
        <w:rPr>
          <w:noProof/>
        </w:rPr>
        <w:lastRenderedPageBreak/>
        <w:drawing>
          <wp:inline distT="0" distB="0" distL="0" distR="0">
            <wp:extent cx="4262120" cy="4117340"/>
            <wp:effectExtent l="0" t="0" r="0" b="0"/>
            <wp:docPr id="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a:stretch>
                      <a:fillRect/>
                    </a:stretch>
                  </pic:blipFill>
                  <pic:spPr bwMode="auto">
                    <a:xfrm>
                      <a:off x="0" y="0"/>
                      <a:ext cx="4262120" cy="4117340"/>
                    </a:xfrm>
                    <a:prstGeom prst="rect">
                      <a:avLst/>
                    </a:prstGeom>
                    <a:noFill/>
                    <a:ln w="9525">
                      <a:noFill/>
                      <a:miter lim="800000"/>
                      <a:headEnd/>
                      <a:tailEnd/>
                    </a:ln>
                  </pic:spPr>
                </pic:pic>
              </a:graphicData>
            </a:graphic>
          </wp:inline>
        </w:drawing>
      </w:r>
    </w:p>
    <w:p>
      <w:pPr>
        <w:jc w:val="center"/>
      </w:pPr>
      <w:r>
        <w:rPr>
          <w:noProof/>
        </w:rPr>
        <w:drawing>
          <wp:inline distT="0" distB="0" distL="0" distR="0">
            <wp:extent cx="5481320" cy="3227705"/>
            <wp:effectExtent l="0" t="0" r="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srcRect r="21703"/>
                    <a:stretch>
                      <a:fillRect/>
                    </a:stretch>
                  </pic:blipFill>
                  <pic:spPr bwMode="auto">
                    <a:xfrm>
                      <a:off x="0" y="0"/>
                      <a:ext cx="5481320" cy="3227705"/>
                    </a:xfrm>
                    <a:prstGeom prst="rect">
                      <a:avLst/>
                    </a:prstGeom>
                    <a:noFill/>
                    <a:ln w="9525">
                      <a:noFill/>
                      <a:miter lim="800000"/>
                      <a:headEnd/>
                      <a:tailEnd/>
                    </a:ln>
                  </pic:spPr>
                </pic:pic>
              </a:graphicData>
            </a:graphic>
          </wp:inline>
        </w:drawing>
      </w:r>
    </w:p>
    <w:p>
      <w:pPr>
        <w:jc w:val="center"/>
        <w:sectPr>
          <w:headerReference w:type="default" r:id="rId23"/>
          <w:footerReference w:type="default" r:id="rId24"/>
          <w:pgSz w:w="12240" w:h="15840" w:code="1"/>
          <w:pgMar w:top="1496" w:right="1440" w:bottom="1440" w:left="1440" w:header="720" w:footer="720" w:gutter="0"/>
          <w:cols w:space="720"/>
          <w:docGrid w:linePitch="360"/>
        </w:sectPr>
      </w:pPr>
    </w:p>
    <w:p>
      <w:pPr>
        <w:pStyle w:val="Heading4"/>
      </w:pPr>
      <w:r>
        <w:lastRenderedPageBreak/>
        <w:t>Impact</w:t>
      </w:r>
    </w:p>
    <w:p>
      <w:pPr>
        <w:ind w:left="864"/>
      </w:pPr>
      <w:r>
        <w:t>The impacts that a risk would have on the program are evaluated against cost, schedule, technical performance, and compliance &amp; oversight.  When rated against each of these risks, impacts would be classified as Severe, High, Moderate, and Low.  When rated with each of the risk categories, field inputs would be as follows:</w:t>
      </w:r>
    </w:p>
    <w:p>
      <w:pPr>
        <w:ind w:left="1440"/>
      </w:pPr>
    </w:p>
    <w:tbl>
      <w:tblPr>
        <w:tblStyle w:val="TableGrid"/>
        <w:tblW w:w="8640" w:type="dxa"/>
        <w:jc w:val="center"/>
        <w:tblLook w:val="01E0"/>
      </w:tblPr>
      <w:tblGrid>
        <w:gridCol w:w="1565"/>
        <w:gridCol w:w="1279"/>
        <w:gridCol w:w="5796"/>
      </w:tblGrid>
      <w:tr>
        <w:trPr>
          <w:jc w:val="center"/>
        </w:trPr>
        <w:tc>
          <w:tcPr>
            <w:tcW w:w="1565" w:type="dxa"/>
            <w:tcBorders>
              <w:top w:val="double" w:sz="4" w:space="0" w:color="auto"/>
              <w:left w:val="double" w:sz="4" w:space="0" w:color="auto"/>
              <w:bottom w:val="double" w:sz="4" w:space="0" w:color="auto"/>
              <w:right w:val="single" w:sz="4" w:space="0" w:color="FFFFFF"/>
            </w:tcBorders>
            <w:shd w:val="clear" w:color="auto" w:fill="000080"/>
          </w:tcPr>
          <w:p>
            <w:pPr>
              <w:ind w:left="0"/>
              <w:rPr>
                <w:b/>
                <w:caps/>
                <w:color w:val="FFFFFF"/>
                <w:sz w:val="20"/>
                <w:szCs w:val="20"/>
              </w:rPr>
            </w:pPr>
            <w:r>
              <w:rPr>
                <w:b/>
                <w:caps/>
                <w:color w:val="FFFFFF"/>
                <w:sz w:val="20"/>
                <w:szCs w:val="20"/>
              </w:rPr>
              <w:t>category</w:t>
            </w:r>
          </w:p>
        </w:tc>
        <w:tc>
          <w:tcPr>
            <w:tcW w:w="1279" w:type="dxa"/>
            <w:tcBorders>
              <w:top w:val="double" w:sz="4" w:space="0" w:color="auto"/>
              <w:left w:val="single" w:sz="4" w:space="0" w:color="FFFFFF"/>
              <w:bottom w:val="double" w:sz="4" w:space="0" w:color="auto"/>
              <w:right w:val="single" w:sz="4" w:space="0" w:color="FFFFFF"/>
            </w:tcBorders>
            <w:shd w:val="clear" w:color="auto" w:fill="000080"/>
          </w:tcPr>
          <w:p>
            <w:pPr>
              <w:ind w:left="0"/>
              <w:rPr>
                <w:b/>
                <w:caps/>
                <w:color w:val="FFFFFF"/>
                <w:sz w:val="20"/>
                <w:szCs w:val="20"/>
              </w:rPr>
            </w:pPr>
            <w:r>
              <w:rPr>
                <w:b/>
                <w:caps/>
                <w:color w:val="FFFFFF"/>
                <w:sz w:val="20"/>
                <w:szCs w:val="20"/>
              </w:rPr>
              <w:t>impact</w:t>
            </w:r>
          </w:p>
        </w:tc>
        <w:tc>
          <w:tcPr>
            <w:tcW w:w="5796" w:type="dxa"/>
            <w:tcBorders>
              <w:top w:val="double" w:sz="4" w:space="0" w:color="auto"/>
              <w:left w:val="single" w:sz="4" w:space="0" w:color="FFFFFF"/>
              <w:bottom w:val="double" w:sz="4" w:space="0" w:color="auto"/>
              <w:right w:val="double" w:sz="4" w:space="0" w:color="auto"/>
            </w:tcBorders>
            <w:shd w:val="clear" w:color="auto" w:fill="000080"/>
          </w:tcPr>
          <w:p>
            <w:pPr>
              <w:ind w:left="0"/>
              <w:rPr>
                <w:b/>
                <w:caps/>
                <w:color w:val="FFFFFF"/>
                <w:sz w:val="20"/>
                <w:szCs w:val="20"/>
              </w:rPr>
            </w:pPr>
            <w:r>
              <w:rPr>
                <w:b/>
                <w:caps/>
                <w:color w:val="FFFFFF"/>
                <w:sz w:val="20"/>
                <w:szCs w:val="20"/>
              </w:rPr>
              <w:t>DESCRIPTION</w:t>
            </w:r>
          </w:p>
        </w:tc>
      </w:tr>
      <w:tr>
        <w:trPr>
          <w:jc w:val="center"/>
        </w:trPr>
        <w:tc>
          <w:tcPr>
            <w:tcW w:w="1565" w:type="dxa"/>
            <w:vMerge w:val="restart"/>
            <w:tcBorders>
              <w:top w:val="double" w:sz="4" w:space="0" w:color="auto"/>
              <w:left w:val="double" w:sz="4" w:space="0" w:color="auto"/>
            </w:tcBorders>
          </w:tcPr>
          <w:p>
            <w:pPr>
              <w:ind w:left="0"/>
              <w:rPr>
                <w:b/>
                <w:sz w:val="20"/>
                <w:szCs w:val="20"/>
              </w:rPr>
            </w:pPr>
            <w:r>
              <w:rPr>
                <w:b/>
                <w:sz w:val="20"/>
                <w:szCs w:val="20"/>
              </w:rPr>
              <w:t>Cost</w:t>
            </w:r>
          </w:p>
        </w:tc>
        <w:tc>
          <w:tcPr>
            <w:tcW w:w="1279" w:type="dxa"/>
            <w:tcBorders>
              <w:top w:val="double" w:sz="4" w:space="0" w:color="auto"/>
            </w:tcBorders>
          </w:tcPr>
          <w:p>
            <w:pPr>
              <w:ind w:left="0"/>
              <w:rPr>
                <w:sz w:val="20"/>
                <w:szCs w:val="20"/>
              </w:rPr>
            </w:pPr>
            <w:r>
              <w:rPr>
                <w:sz w:val="20"/>
                <w:szCs w:val="20"/>
              </w:rPr>
              <w:t>Severe</w:t>
            </w:r>
          </w:p>
        </w:tc>
        <w:tc>
          <w:tcPr>
            <w:tcW w:w="5796" w:type="dxa"/>
            <w:tcBorders>
              <w:top w:val="double" w:sz="4" w:space="0" w:color="auto"/>
              <w:right w:val="double" w:sz="4" w:space="0" w:color="auto"/>
            </w:tcBorders>
          </w:tcPr>
          <w:p>
            <w:pPr>
              <w:pStyle w:val="TableText"/>
              <w:spacing w:line="240" w:lineRule="auto"/>
              <w:rPr>
                <w:sz w:val="20"/>
              </w:rPr>
            </w:pPr>
            <w:r>
              <w:rPr>
                <w:sz w:val="20"/>
              </w:rPr>
              <w:t>An event whose occurrence will impact the project cost so severely that the project would be terminated.</w:t>
            </w:r>
          </w:p>
        </w:tc>
      </w:tr>
      <w:tr>
        <w:trPr>
          <w:jc w:val="center"/>
        </w:trPr>
        <w:tc>
          <w:tcPr>
            <w:tcW w:w="1565" w:type="dxa"/>
            <w:vMerge/>
            <w:tcBorders>
              <w:left w:val="double" w:sz="4" w:space="0" w:color="auto"/>
            </w:tcBorders>
          </w:tcPr>
          <w:p>
            <w:pPr>
              <w:ind w:left="0"/>
              <w:rPr>
                <w:sz w:val="20"/>
                <w:szCs w:val="20"/>
              </w:rPr>
            </w:pPr>
          </w:p>
        </w:tc>
        <w:tc>
          <w:tcPr>
            <w:tcW w:w="1279" w:type="dxa"/>
          </w:tcPr>
          <w:p>
            <w:pPr>
              <w:ind w:left="0"/>
              <w:rPr>
                <w:sz w:val="20"/>
                <w:szCs w:val="20"/>
              </w:rPr>
            </w:pPr>
            <w:r>
              <w:rPr>
                <w:sz w:val="20"/>
                <w:szCs w:val="20"/>
              </w:rPr>
              <w:t>High</w:t>
            </w:r>
          </w:p>
        </w:tc>
        <w:tc>
          <w:tcPr>
            <w:tcW w:w="5796" w:type="dxa"/>
            <w:tcBorders>
              <w:right w:val="double" w:sz="4" w:space="0" w:color="auto"/>
            </w:tcBorders>
          </w:tcPr>
          <w:p>
            <w:pPr>
              <w:pStyle w:val="TableText"/>
              <w:spacing w:line="240" w:lineRule="auto"/>
              <w:rPr>
                <w:sz w:val="20"/>
              </w:rPr>
            </w:pPr>
            <w:r>
              <w:rPr>
                <w:sz w:val="20"/>
              </w:rPr>
              <w:t>An event that, if it occurs, will cause significant cost increases, more than 5 percent, on the project.</w:t>
            </w:r>
          </w:p>
        </w:tc>
      </w:tr>
      <w:tr>
        <w:trPr>
          <w:jc w:val="center"/>
        </w:trPr>
        <w:tc>
          <w:tcPr>
            <w:tcW w:w="1565" w:type="dxa"/>
            <w:vMerge/>
            <w:tcBorders>
              <w:left w:val="double" w:sz="4" w:space="0" w:color="auto"/>
            </w:tcBorders>
          </w:tcPr>
          <w:p>
            <w:pPr>
              <w:ind w:left="0"/>
              <w:rPr>
                <w:sz w:val="20"/>
                <w:szCs w:val="20"/>
              </w:rPr>
            </w:pPr>
          </w:p>
        </w:tc>
        <w:tc>
          <w:tcPr>
            <w:tcW w:w="1279" w:type="dxa"/>
          </w:tcPr>
          <w:p>
            <w:pPr>
              <w:ind w:left="0"/>
              <w:rPr>
                <w:sz w:val="20"/>
                <w:szCs w:val="20"/>
              </w:rPr>
            </w:pPr>
            <w:r>
              <w:rPr>
                <w:sz w:val="20"/>
                <w:szCs w:val="20"/>
              </w:rPr>
              <w:t>Moderate</w:t>
            </w:r>
          </w:p>
        </w:tc>
        <w:tc>
          <w:tcPr>
            <w:tcW w:w="5796" w:type="dxa"/>
            <w:tcBorders>
              <w:right w:val="double" w:sz="4" w:space="0" w:color="auto"/>
            </w:tcBorders>
          </w:tcPr>
          <w:p>
            <w:pPr>
              <w:pStyle w:val="TableText"/>
              <w:spacing w:line="240" w:lineRule="auto"/>
              <w:rPr>
                <w:sz w:val="20"/>
              </w:rPr>
            </w:pPr>
            <w:r>
              <w:rPr>
                <w:sz w:val="20"/>
              </w:rPr>
              <w:t xml:space="preserve">An event that, if it occurs, will cause noticeable cost increases, of not more than 5 percent, on the project.   </w:t>
            </w:r>
          </w:p>
        </w:tc>
      </w:tr>
      <w:tr>
        <w:trPr>
          <w:jc w:val="center"/>
        </w:trPr>
        <w:tc>
          <w:tcPr>
            <w:tcW w:w="1565" w:type="dxa"/>
            <w:vMerge/>
            <w:tcBorders>
              <w:left w:val="double" w:sz="4" w:space="0" w:color="auto"/>
              <w:bottom w:val="double" w:sz="4" w:space="0" w:color="auto"/>
            </w:tcBorders>
          </w:tcPr>
          <w:p>
            <w:pPr>
              <w:ind w:left="0"/>
              <w:rPr>
                <w:sz w:val="20"/>
                <w:szCs w:val="20"/>
              </w:rPr>
            </w:pPr>
          </w:p>
        </w:tc>
        <w:tc>
          <w:tcPr>
            <w:tcW w:w="1279" w:type="dxa"/>
            <w:tcBorders>
              <w:bottom w:val="double" w:sz="4" w:space="0" w:color="auto"/>
            </w:tcBorders>
          </w:tcPr>
          <w:p>
            <w:pPr>
              <w:ind w:left="0"/>
              <w:rPr>
                <w:sz w:val="20"/>
                <w:szCs w:val="20"/>
              </w:rPr>
            </w:pPr>
            <w:r>
              <w:rPr>
                <w:sz w:val="20"/>
                <w:szCs w:val="20"/>
              </w:rPr>
              <w:t>Low</w:t>
            </w:r>
          </w:p>
        </w:tc>
        <w:tc>
          <w:tcPr>
            <w:tcW w:w="5796" w:type="dxa"/>
            <w:tcBorders>
              <w:bottom w:val="double" w:sz="4" w:space="0" w:color="auto"/>
              <w:right w:val="double" w:sz="4" w:space="0" w:color="auto"/>
            </w:tcBorders>
          </w:tcPr>
          <w:p>
            <w:pPr>
              <w:pStyle w:val="TableText"/>
              <w:spacing w:line="240" w:lineRule="auto"/>
              <w:rPr>
                <w:sz w:val="20"/>
              </w:rPr>
            </w:pPr>
            <w:r>
              <w:rPr>
                <w:sz w:val="20"/>
              </w:rPr>
              <w:t xml:space="preserve">An event that, if it occurs, will cause small cost increases that, in most cases, can be absorbed by the project.  </w:t>
            </w:r>
          </w:p>
        </w:tc>
      </w:tr>
      <w:tr>
        <w:trPr>
          <w:jc w:val="center"/>
        </w:trPr>
        <w:tc>
          <w:tcPr>
            <w:tcW w:w="1565" w:type="dxa"/>
            <w:vMerge w:val="restart"/>
            <w:tcBorders>
              <w:top w:val="double" w:sz="4" w:space="0" w:color="auto"/>
              <w:left w:val="double" w:sz="4" w:space="0" w:color="auto"/>
            </w:tcBorders>
          </w:tcPr>
          <w:p>
            <w:pPr>
              <w:ind w:left="0"/>
              <w:rPr>
                <w:b/>
                <w:sz w:val="20"/>
                <w:szCs w:val="20"/>
              </w:rPr>
            </w:pPr>
            <w:r>
              <w:rPr>
                <w:b/>
                <w:sz w:val="20"/>
                <w:szCs w:val="20"/>
              </w:rPr>
              <w:t>Schedule</w:t>
            </w:r>
          </w:p>
        </w:tc>
        <w:tc>
          <w:tcPr>
            <w:tcW w:w="1279" w:type="dxa"/>
            <w:tcBorders>
              <w:top w:val="double" w:sz="4" w:space="0" w:color="auto"/>
            </w:tcBorders>
          </w:tcPr>
          <w:p>
            <w:pPr>
              <w:ind w:left="0"/>
              <w:rPr>
                <w:sz w:val="20"/>
                <w:szCs w:val="20"/>
              </w:rPr>
            </w:pPr>
            <w:r>
              <w:rPr>
                <w:sz w:val="20"/>
                <w:szCs w:val="20"/>
              </w:rPr>
              <w:t>Severe</w:t>
            </w:r>
          </w:p>
        </w:tc>
        <w:tc>
          <w:tcPr>
            <w:tcW w:w="5796" w:type="dxa"/>
            <w:tcBorders>
              <w:top w:val="double" w:sz="4" w:space="0" w:color="auto"/>
              <w:right w:val="double" w:sz="4" w:space="0" w:color="auto"/>
            </w:tcBorders>
          </w:tcPr>
          <w:p>
            <w:pPr>
              <w:pStyle w:val="TableText"/>
              <w:tabs>
                <w:tab w:val="left" w:pos="7380"/>
              </w:tabs>
              <w:spacing w:line="240" w:lineRule="auto"/>
              <w:rPr>
                <w:sz w:val="20"/>
              </w:rPr>
            </w:pPr>
            <w:r>
              <w:rPr>
                <w:sz w:val="20"/>
              </w:rPr>
              <w:t>An event whose occurrence will impact the project's schedule so severely that the project will be terminated.</w:t>
            </w:r>
          </w:p>
        </w:tc>
      </w:tr>
      <w:tr>
        <w:trPr>
          <w:jc w:val="center"/>
        </w:trPr>
        <w:tc>
          <w:tcPr>
            <w:tcW w:w="1565" w:type="dxa"/>
            <w:vMerge/>
            <w:tcBorders>
              <w:left w:val="double" w:sz="4" w:space="0" w:color="auto"/>
            </w:tcBorders>
          </w:tcPr>
          <w:p>
            <w:pPr>
              <w:ind w:left="0"/>
              <w:rPr>
                <w:sz w:val="20"/>
                <w:szCs w:val="20"/>
              </w:rPr>
            </w:pPr>
          </w:p>
        </w:tc>
        <w:tc>
          <w:tcPr>
            <w:tcW w:w="1279" w:type="dxa"/>
          </w:tcPr>
          <w:p>
            <w:pPr>
              <w:ind w:left="0"/>
              <w:rPr>
                <w:sz w:val="20"/>
                <w:szCs w:val="20"/>
              </w:rPr>
            </w:pPr>
            <w:r>
              <w:rPr>
                <w:sz w:val="20"/>
                <w:szCs w:val="20"/>
              </w:rPr>
              <w:t>High</w:t>
            </w:r>
          </w:p>
        </w:tc>
        <w:tc>
          <w:tcPr>
            <w:tcW w:w="5796" w:type="dxa"/>
            <w:tcBorders>
              <w:right w:val="double" w:sz="4" w:space="0" w:color="auto"/>
            </w:tcBorders>
          </w:tcPr>
          <w:p>
            <w:pPr>
              <w:pStyle w:val="TableText"/>
              <w:tabs>
                <w:tab w:val="left" w:pos="7380"/>
              </w:tabs>
              <w:spacing w:line="240" w:lineRule="auto"/>
              <w:rPr>
                <w:sz w:val="20"/>
              </w:rPr>
            </w:pPr>
            <w:r>
              <w:rPr>
                <w:sz w:val="20"/>
              </w:rPr>
              <w:t>An event that, if it occurs, will cause significant schedule increases, of more than 5 percent, on the project.</w:t>
            </w:r>
          </w:p>
        </w:tc>
      </w:tr>
      <w:tr>
        <w:trPr>
          <w:jc w:val="center"/>
        </w:trPr>
        <w:tc>
          <w:tcPr>
            <w:tcW w:w="1565" w:type="dxa"/>
            <w:vMerge/>
            <w:tcBorders>
              <w:left w:val="double" w:sz="4" w:space="0" w:color="auto"/>
            </w:tcBorders>
          </w:tcPr>
          <w:p>
            <w:pPr>
              <w:ind w:left="0"/>
              <w:rPr>
                <w:sz w:val="20"/>
                <w:szCs w:val="20"/>
              </w:rPr>
            </w:pPr>
          </w:p>
        </w:tc>
        <w:tc>
          <w:tcPr>
            <w:tcW w:w="1279" w:type="dxa"/>
          </w:tcPr>
          <w:p>
            <w:pPr>
              <w:ind w:left="0"/>
              <w:rPr>
                <w:sz w:val="20"/>
                <w:szCs w:val="20"/>
              </w:rPr>
            </w:pPr>
            <w:r>
              <w:rPr>
                <w:sz w:val="20"/>
                <w:szCs w:val="20"/>
              </w:rPr>
              <w:t>Moderate</w:t>
            </w:r>
          </w:p>
        </w:tc>
        <w:tc>
          <w:tcPr>
            <w:tcW w:w="5796" w:type="dxa"/>
            <w:tcBorders>
              <w:right w:val="double" w:sz="4" w:space="0" w:color="auto"/>
            </w:tcBorders>
          </w:tcPr>
          <w:p>
            <w:pPr>
              <w:pStyle w:val="TableText"/>
              <w:tabs>
                <w:tab w:val="left" w:pos="7380"/>
              </w:tabs>
              <w:spacing w:line="240" w:lineRule="auto"/>
              <w:rPr>
                <w:sz w:val="20"/>
              </w:rPr>
            </w:pPr>
            <w:r>
              <w:rPr>
                <w:sz w:val="20"/>
              </w:rPr>
              <w:t xml:space="preserve">An event that, if it occurs, will cause noticeable schedule increases, not more than 5 percent, on the project.   </w:t>
            </w:r>
          </w:p>
        </w:tc>
      </w:tr>
      <w:tr>
        <w:trPr>
          <w:jc w:val="center"/>
        </w:trPr>
        <w:tc>
          <w:tcPr>
            <w:tcW w:w="1565" w:type="dxa"/>
            <w:vMerge/>
            <w:tcBorders>
              <w:left w:val="double" w:sz="4" w:space="0" w:color="auto"/>
              <w:bottom w:val="double" w:sz="4" w:space="0" w:color="auto"/>
            </w:tcBorders>
          </w:tcPr>
          <w:p>
            <w:pPr>
              <w:ind w:left="0"/>
              <w:rPr>
                <w:sz w:val="20"/>
                <w:szCs w:val="20"/>
              </w:rPr>
            </w:pPr>
          </w:p>
        </w:tc>
        <w:tc>
          <w:tcPr>
            <w:tcW w:w="1279" w:type="dxa"/>
            <w:tcBorders>
              <w:bottom w:val="double" w:sz="4" w:space="0" w:color="auto"/>
            </w:tcBorders>
          </w:tcPr>
          <w:p>
            <w:pPr>
              <w:ind w:left="0"/>
              <w:rPr>
                <w:sz w:val="20"/>
                <w:szCs w:val="20"/>
              </w:rPr>
            </w:pPr>
            <w:r>
              <w:rPr>
                <w:sz w:val="20"/>
                <w:szCs w:val="20"/>
              </w:rPr>
              <w:t>Low</w:t>
            </w:r>
          </w:p>
        </w:tc>
        <w:tc>
          <w:tcPr>
            <w:tcW w:w="5796" w:type="dxa"/>
            <w:tcBorders>
              <w:bottom w:val="double" w:sz="4" w:space="0" w:color="auto"/>
              <w:right w:val="double" w:sz="4" w:space="0" w:color="auto"/>
            </w:tcBorders>
          </w:tcPr>
          <w:p>
            <w:pPr>
              <w:pStyle w:val="Hyperlink"/>
              <w:tabs>
                <w:tab w:val="left" w:pos="7380"/>
              </w:tabs>
              <w:ind w:left="54" w:hanging="54"/>
              <w:rPr>
                <w:sz w:val="20"/>
                <w:szCs w:val="20"/>
              </w:rPr>
            </w:pPr>
            <w:r>
              <w:rPr>
                <w:sz w:val="20"/>
                <w:szCs w:val="20"/>
              </w:rPr>
              <w:t xml:space="preserve">An event that, if it occurs, will cause small schedule increases that, in most cases, can be absorbed by the project.  </w:t>
            </w:r>
          </w:p>
        </w:tc>
      </w:tr>
    </w:tbl>
    <w:p>
      <w:pPr>
        <w:sectPr>
          <w:headerReference w:type="default" r:id="rId25"/>
          <w:footerReference w:type="default" r:id="rId26"/>
          <w:type w:val="continuous"/>
          <w:pgSz w:w="12240" w:h="15840" w:code="1"/>
          <w:pgMar w:top="1440" w:right="1440" w:bottom="1440" w:left="1440" w:header="720" w:footer="720" w:gutter="0"/>
          <w:cols w:space="720"/>
          <w:docGrid w:linePitch="360"/>
        </w:sectPr>
      </w:pPr>
    </w:p>
    <w:p>
      <w:pPr>
        <w:pStyle w:val="Heading4"/>
        <w:numPr>
          <w:ilvl w:val="0"/>
          <w:numId w:val="0"/>
        </w:numPr>
        <w:ind w:left="748"/>
      </w:pPr>
    </w:p>
    <w:tbl>
      <w:tblPr>
        <w:tblStyle w:val="TableGrid"/>
        <w:tblW w:w="8640" w:type="dxa"/>
        <w:jc w:val="center"/>
        <w:tblLook w:val="01E0"/>
      </w:tblPr>
      <w:tblGrid>
        <w:gridCol w:w="1565"/>
        <w:gridCol w:w="1279"/>
        <w:gridCol w:w="5796"/>
      </w:tblGrid>
      <w:tr>
        <w:trPr>
          <w:tblHeader/>
          <w:jc w:val="center"/>
        </w:trPr>
        <w:tc>
          <w:tcPr>
            <w:tcW w:w="1565" w:type="dxa"/>
            <w:tcBorders>
              <w:top w:val="double" w:sz="4" w:space="0" w:color="auto"/>
              <w:left w:val="double" w:sz="4" w:space="0" w:color="auto"/>
              <w:bottom w:val="double" w:sz="4" w:space="0" w:color="auto"/>
              <w:right w:val="single" w:sz="4" w:space="0" w:color="FFFFFF"/>
            </w:tcBorders>
            <w:shd w:val="clear" w:color="auto" w:fill="000080"/>
          </w:tcPr>
          <w:p>
            <w:pPr>
              <w:ind w:left="0"/>
              <w:rPr>
                <w:b/>
                <w:caps/>
                <w:color w:val="FFFFFF"/>
                <w:sz w:val="20"/>
                <w:szCs w:val="20"/>
              </w:rPr>
            </w:pPr>
            <w:r>
              <w:rPr>
                <w:b/>
                <w:caps/>
                <w:color w:val="FFFFFF"/>
                <w:sz w:val="20"/>
                <w:szCs w:val="20"/>
              </w:rPr>
              <w:t>category</w:t>
            </w:r>
          </w:p>
        </w:tc>
        <w:tc>
          <w:tcPr>
            <w:tcW w:w="1279" w:type="dxa"/>
            <w:tcBorders>
              <w:top w:val="double" w:sz="4" w:space="0" w:color="auto"/>
              <w:left w:val="single" w:sz="4" w:space="0" w:color="FFFFFF"/>
              <w:bottom w:val="double" w:sz="4" w:space="0" w:color="auto"/>
              <w:right w:val="single" w:sz="4" w:space="0" w:color="FFFFFF"/>
            </w:tcBorders>
            <w:shd w:val="clear" w:color="auto" w:fill="000080"/>
          </w:tcPr>
          <w:p>
            <w:pPr>
              <w:ind w:left="0"/>
              <w:rPr>
                <w:b/>
                <w:caps/>
                <w:color w:val="FFFFFF"/>
                <w:sz w:val="20"/>
                <w:szCs w:val="20"/>
              </w:rPr>
            </w:pPr>
            <w:r>
              <w:rPr>
                <w:b/>
                <w:caps/>
                <w:color w:val="FFFFFF"/>
                <w:sz w:val="20"/>
                <w:szCs w:val="20"/>
              </w:rPr>
              <w:t>impact</w:t>
            </w:r>
          </w:p>
        </w:tc>
        <w:tc>
          <w:tcPr>
            <w:tcW w:w="5796" w:type="dxa"/>
            <w:tcBorders>
              <w:top w:val="double" w:sz="4" w:space="0" w:color="auto"/>
              <w:left w:val="single" w:sz="4" w:space="0" w:color="FFFFFF"/>
              <w:bottom w:val="double" w:sz="4" w:space="0" w:color="auto"/>
              <w:right w:val="double" w:sz="4" w:space="0" w:color="auto"/>
            </w:tcBorders>
            <w:shd w:val="clear" w:color="auto" w:fill="000080"/>
          </w:tcPr>
          <w:p>
            <w:pPr>
              <w:ind w:left="0"/>
              <w:rPr>
                <w:b/>
                <w:caps/>
                <w:color w:val="FFFFFF"/>
                <w:sz w:val="20"/>
                <w:szCs w:val="20"/>
              </w:rPr>
            </w:pPr>
            <w:r>
              <w:rPr>
                <w:b/>
                <w:caps/>
                <w:color w:val="FFFFFF"/>
                <w:sz w:val="20"/>
                <w:szCs w:val="20"/>
              </w:rPr>
              <w:t>DESCRIPTION</w:t>
            </w:r>
          </w:p>
        </w:tc>
      </w:tr>
      <w:tr>
        <w:trPr>
          <w:jc w:val="center"/>
        </w:trPr>
        <w:tc>
          <w:tcPr>
            <w:tcW w:w="1565" w:type="dxa"/>
            <w:vMerge w:val="restart"/>
            <w:tcBorders>
              <w:top w:val="double" w:sz="4" w:space="0" w:color="auto"/>
              <w:left w:val="double" w:sz="4" w:space="0" w:color="auto"/>
            </w:tcBorders>
          </w:tcPr>
          <w:p>
            <w:pPr>
              <w:ind w:left="0"/>
              <w:rPr>
                <w:b/>
                <w:sz w:val="20"/>
                <w:szCs w:val="20"/>
              </w:rPr>
            </w:pPr>
            <w:r>
              <w:rPr>
                <w:b/>
                <w:sz w:val="20"/>
                <w:szCs w:val="20"/>
              </w:rPr>
              <w:t>Technical Performance</w:t>
            </w:r>
          </w:p>
        </w:tc>
        <w:tc>
          <w:tcPr>
            <w:tcW w:w="1279" w:type="dxa"/>
            <w:tcBorders>
              <w:top w:val="double" w:sz="4" w:space="0" w:color="auto"/>
            </w:tcBorders>
          </w:tcPr>
          <w:p>
            <w:pPr>
              <w:ind w:left="0"/>
              <w:rPr>
                <w:sz w:val="20"/>
                <w:szCs w:val="20"/>
              </w:rPr>
            </w:pPr>
            <w:r>
              <w:rPr>
                <w:sz w:val="20"/>
                <w:szCs w:val="20"/>
              </w:rPr>
              <w:t>Severe</w:t>
            </w:r>
          </w:p>
        </w:tc>
        <w:tc>
          <w:tcPr>
            <w:tcW w:w="5796" w:type="dxa"/>
            <w:tcBorders>
              <w:top w:val="double" w:sz="4" w:space="0" w:color="auto"/>
              <w:right w:val="double" w:sz="4" w:space="0" w:color="auto"/>
            </w:tcBorders>
          </w:tcPr>
          <w:p>
            <w:pPr>
              <w:pStyle w:val="TableText"/>
              <w:spacing w:line="240" w:lineRule="auto"/>
              <w:rPr>
                <w:sz w:val="20"/>
              </w:rPr>
            </w:pPr>
            <w:r>
              <w:rPr>
                <w:sz w:val="20"/>
              </w:rPr>
              <w:t>An event whose occurrence will impact the project's technical performance so severely that the project would not meet performance requirements.</w:t>
            </w:r>
          </w:p>
        </w:tc>
      </w:tr>
      <w:tr>
        <w:trPr>
          <w:jc w:val="center"/>
        </w:trPr>
        <w:tc>
          <w:tcPr>
            <w:tcW w:w="1565" w:type="dxa"/>
            <w:vMerge/>
            <w:tcBorders>
              <w:left w:val="double" w:sz="4" w:space="0" w:color="auto"/>
            </w:tcBorders>
          </w:tcPr>
          <w:p>
            <w:pPr>
              <w:ind w:left="0"/>
              <w:rPr>
                <w:sz w:val="20"/>
                <w:szCs w:val="20"/>
              </w:rPr>
            </w:pPr>
          </w:p>
        </w:tc>
        <w:tc>
          <w:tcPr>
            <w:tcW w:w="1279" w:type="dxa"/>
          </w:tcPr>
          <w:p>
            <w:pPr>
              <w:ind w:left="0"/>
              <w:rPr>
                <w:sz w:val="20"/>
                <w:szCs w:val="20"/>
              </w:rPr>
            </w:pPr>
            <w:r>
              <w:rPr>
                <w:sz w:val="20"/>
                <w:szCs w:val="20"/>
              </w:rPr>
              <w:t>High</w:t>
            </w:r>
          </w:p>
        </w:tc>
        <w:tc>
          <w:tcPr>
            <w:tcW w:w="5796" w:type="dxa"/>
            <w:tcBorders>
              <w:right w:val="double" w:sz="4" w:space="0" w:color="auto"/>
            </w:tcBorders>
          </w:tcPr>
          <w:p>
            <w:pPr>
              <w:pStyle w:val="TableText"/>
              <w:spacing w:line="240" w:lineRule="auto"/>
              <w:rPr>
                <w:sz w:val="20"/>
              </w:rPr>
            </w:pPr>
            <w:r>
              <w:rPr>
                <w:sz w:val="20"/>
              </w:rPr>
              <w:t>An event that, if it occurs, will cause significant change to the technical architecture and/or a significant loss of required functionality and/or a significant loss in required operational performance.  Minimum acceptable requirements will not be achieved.</w:t>
            </w:r>
          </w:p>
        </w:tc>
      </w:tr>
      <w:tr>
        <w:trPr>
          <w:jc w:val="center"/>
        </w:trPr>
        <w:tc>
          <w:tcPr>
            <w:tcW w:w="1565" w:type="dxa"/>
            <w:vMerge/>
            <w:tcBorders>
              <w:left w:val="double" w:sz="4" w:space="0" w:color="auto"/>
            </w:tcBorders>
          </w:tcPr>
          <w:p>
            <w:pPr>
              <w:ind w:left="0"/>
              <w:rPr>
                <w:sz w:val="20"/>
                <w:szCs w:val="20"/>
              </w:rPr>
            </w:pPr>
          </w:p>
        </w:tc>
        <w:tc>
          <w:tcPr>
            <w:tcW w:w="1279" w:type="dxa"/>
          </w:tcPr>
          <w:p>
            <w:pPr>
              <w:ind w:left="0"/>
              <w:rPr>
                <w:sz w:val="20"/>
                <w:szCs w:val="20"/>
              </w:rPr>
            </w:pPr>
            <w:r>
              <w:rPr>
                <w:sz w:val="20"/>
                <w:szCs w:val="20"/>
              </w:rPr>
              <w:t>Moderate</w:t>
            </w:r>
          </w:p>
        </w:tc>
        <w:tc>
          <w:tcPr>
            <w:tcW w:w="5796" w:type="dxa"/>
            <w:tcBorders>
              <w:right w:val="double" w:sz="4" w:space="0" w:color="auto"/>
            </w:tcBorders>
          </w:tcPr>
          <w:p>
            <w:pPr>
              <w:pStyle w:val="TableText"/>
              <w:spacing w:line="240" w:lineRule="auto"/>
              <w:rPr>
                <w:sz w:val="20"/>
              </w:rPr>
            </w:pPr>
            <w:r>
              <w:rPr>
                <w:sz w:val="20"/>
              </w:rPr>
              <w:t>An event that, if it occurs, will cause modest change to the technical architecture and/or a modest loss of some non-critical functionality and/or a modest loss of some non-critical operational performance requirements.  Minimum acceptable requirements will be achieved.</w:t>
            </w:r>
          </w:p>
        </w:tc>
      </w:tr>
      <w:tr>
        <w:trPr>
          <w:jc w:val="center"/>
        </w:trPr>
        <w:tc>
          <w:tcPr>
            <w:tcW w:w="1565" w:type="dxa"/>
            <w:vMerge/>
            <w:tcBorders>
              <w:left w:val="double" w:sz="4" w:space="0" w:color="auto"/>
              <w:bottom w:val="double" w:sz="4" w:space="0" w:color="auto"/>
            </w:tcBorders>
          </w:tcPr>
          <w:p>
            <w:pPr>
              <w:ind w:left="0"/>
              <w:rPr>
                <w:sz w:val="20"/>
                <w:szCs w:val="20"/>
              </w:rPr>
            </w:pPr>
          </w:p>
        </w:tc>
        <w:tc>
          <w:tcPr>
            <w:tcW w:w="1279" w:type="dxa"/>
            <w:tcBorders>
              <w:bottom w:val="double" w:sz="4" w:space="0" w:color="auto"/>
            </w:tcBorders>
          </w:tcPr>
          <w:p>
            <w:pPr>
              <w:ind w:left="0"/>
              <w:rPr>
                <w:sz w:val="20"/>
                <w:szCs w:val="20"/>
              </w:rPr>
            </w:pPr>
            <w:r>
              <w:rPr>
                <w:sz w:val="20"/>
                <w:szCs w:val="20"/>
              </w:rPr>
              <w:t>Low</w:t>
            </w:r>
          </w:p>
        </w:tc>
        <w:tc>
          <w:tcPr>
            <w:tcW w:w="5796" w:type="dxa"/>
            <w:tcBorders>
              <w:bottom w:val="double" w:sz="4" w:space="0" w:color="auto"/>
              <w:right w:val="double" w:sz="4" w:space="0" w:color="auto"/>
            </w:tcBorders>
          </w:tcPr>
          <w:p>
            <w:pPr>
              <w:pStyle w:val="Hyperlink"/>
              <w:ind w:left="0"/>
              <w:rPr>
                <w:sz w:val="20"/>
                <w:szCs w:val="20"/>
              </w:rPr>
            </w:pPr>
            <w:r>
              <w:rPr>
                <w:sz w:val="20"/>
                <w:szCs w:val="20"/>
              </w:rPr>
              <w:t xml:space="preserve">An event that, if it occurs, will cause small (if any) change to the technical architecture and/or little-to-no loss of required functionality and/or little-to-no loss in required operational performance.  More than the minimum acceptable requirements will be achieved.  </w:t>
            </w:r>
          </w:p>
        </w:tc>
      </w:tr>
      <w:tr>
        <w:trPr>
          <w:jc w:val="center"/>
        </w:trPr>
        <w:tc>
          <w:tcPr>
            <w:tcW w:w="1565" w:type="dxa"/>
            <w:vMerge w:val="restart"/>
            <w:tcBorders>
              <w:top w:val="double" w:sz="4" w:space="0" w:color="auto"/>
              <w:left w:val="double" w:sz="4" w:space="0" w:color="auto"/>
            </w:tcBorders>
          </w:tcPr>
          <w:p>
            <w:pPr>
              <w:ind w:left="0"/>
              <w:rPr>
                <w:b/>
                <w:sz w:val="20"/>
                <w:szCs w:val="20"/>
              </w:rPr>
            </w:pPr>
            <w:r>
              <w:rPr>
                <w:b/>
                <w:sz w:val="20"/>
                <w:szCs w:val="20"/>
              </w:rPr>
              <w:t xml:space="preserve">Compliance &amp; </w:t>
            </w:r>
            <w:r>
              <w:rPr>
                <w:b/>
                <w:sz w:val="20"/>
                <w:szCs w:val="20"/>
              </w:rPr>
              <w:lastRenderedPageBreak/>
              <w:t>Oversight</w:t>
            </w:r>
          </w:p>
        </w:tc>
        <w:tc>
          <w:tcPr>
            <w:tcW w:w="1279" w:type="dxa"/>
            <w:tcBorders>
              <w:top w:val="double" w:sz="4" w:space="0" w:color="auto"/>
            </w:tcBorders>
          </w:tcPr>
          <w:p>
            <w:pPr>
              <w:ind w:left="0"/>
              <w:rPr>
                <w:sz w:val="20"/>
                <w:szCs w:val="20"/>
              </w:rPr>
            </w:pPr>
            <w:r>
              <w:rPr>
                <w:sz w:val="20"/>
                <w:szCs w:val="20"/>
              </w:rPr>
              <w:lastRenderedPageBreak/>
              <w:t>Severe</w:t>
            </w:r>
          </w:p>
        </w:tc>
        <w:tc>
          <w:tcPr>
            <w:tcW w:w="5796" w:type="dxa"/>
            <w:tcBorders>
              <w:top w:val="double" w:sz="4" w:space="0" w:color="auto"/>
              <w:right w:val="double" w:sz="4" w:space="0" w:color="auto"/>
            </w:tcBorders>
          </w:tcPr>
          <w:p>
            <w:pPr>
              <w:pStyle w:val="TableText"/>
              <w:spacing w:line="240" w:lineRule="auto"/>
              <w:rPr>
                <w:sz w:val="20"/>
              </w:rPr>
            </w:pPr>
            <w:r>
              <w:rPr>
                <w:sz w:val="20"/>
              </w:rPr>
              <w:t xml:space="preserve">An event whose occurrence will cause the enterprise to be non-compliant with requirements associated with any NC3A </w:t>
            </w:r>
            <w:r>
              <w:rPr>
                <w:sz w:val="20"/>
              </w:rPr>
              <w:lastRenderedPageBreak/>
              <w:t>direction/policy.</w:t>
            </w:r>
          </w:p>
        </w:tc>
      </w:tr>
      <w:tr>
        <w:trPr>
          <w:jc w:val="center"/>
        </w:trPr>
        <w:tc>
          <w:tcPr>
            <w:tcW w:w="1565" w:type="dxa"/>
            <w:vMerge/>
            <w:tcBorders>
              <w:left w:val="double" w:sz="4" w:space="0" w:color="auto"/>
            </w:tcBorders>
          </w:tcPr>
          <w:p>
            <w:pPr>
              <w:ind w:left="0"/>
              <w:rPr>
                <w:sz w:val="20"/>
                <w:szCs w:val="20"/>
              </w:rPr>
            </w:pPr>
          </w:p>
        </w:tc>
        <w:tc>
          <w:tcPr>
            <w:tcW w:w="1279" w:type="dxa"/>
          </w:tcPr>
          <w:p>
            <w:pPr>
              <w:ind w:left="0"/>
              <w:rPr>
                <w:sz w:val="20"/>
                <w:szCs w:val="20"/>
              </w:rPr>
            </w:pPr>
            <w:r>
              <w:rPr>
                <w:sz w:val="20"/>
                <w:szCs w:val="20"/>
              </w:rPr>
              <w:t>High</w:t>
            </w:r>
          </w:p>
        </w:tc>
        <w:tc>
          <w:tcPr>
            <w:tcW w:w="5796" w:type="dxa"/>
            <w:tcBorders>
              <w:right w:val="double" w:sz="4" w:space="0" w:color="auto"/>
            </w:tcBorders>
          </w:tcPr>
          <w:p>
            <w:pPr>
              <w:pStyle w:val="TableText"/>
              <w:spacing w:line="240" w:lineRule="auto"/>
              <w:rPr>
                <w:sz w:val="20"/>
              </w:rPr>
            </w:pPr>
            <w:r>
              <w:rPr>
                <w:sz w:val="20"/>
              </w:rPr>
              <w:t>An event that, if it occurs, will cause significant (critical) problems in meeting compliance requirements associated with a NC3A direction/policy.</w:t>
            </w:r>
          </w:p>
        </w:tc>
      </w:tr>
      <w:tr>
        <w:trPr>
          <w:jc w:val="center"/>
        </w:trPr>
        <w:tc>
          <w:tcPr>
            <w:tcW w:w="1565" w:type="dxa"/>
            <w:vMerge/>
            <w:tcBorders>
              <w:left w:val="double" w:sz="4" w:space="0" w:color="auto"/>
            </w:tcBorders>
          </w:tcPr>
          <w:p>
            <w:pPr>
              <w:ind w:left="0"/>
              <w:rPr>
                <w:sz w:val="20"/>
                <w:szCs w:val="20"/>
              </w:rPr>
            </w:pPr>
          </w:p>
        </w:tc>
        <w:tc>
          <w:tcPr>
            <w:tcW w:w="1279" w:type="dxa"/>
          </w:tcPr>
          <w:p>
            <w:pPr>
              <w:ind w:left="0"/>
              <w:rPr>
                <w:sz w:val="20"/>
                <w:szCs w:val="20"/>
              </w:rPr>
            </w:pPr>
            <w:r>
              <w:rPr>
                <w:sz w:val="20"/>
                <w:szCs w:val="20"/>
              </w:rPr>
              <w:t>Moderate</w:t>
            </w:r>
          </w:p>
        </w:tc>
        <w:tc>
          <w:tcPr>
            <w:tcW w:w="5796" w:type="dxa"/>
            <w:tcBorders>
              <w:right w:val="double" w:sz="4" w:space="0" w:color="auto"/>
            </w:tcBorders>
          </w:tcPr>
          <w:p>
            <w:pPr>
              <w:pStyle w:val="TableText"/>
              <w:spacing w:line="240" w:lineRule="auto"/>
              <w:rPr>
                <w:sz w:val="20"/>
              </w:rPr>
            </w:pPr>
            <w:r>
              <w:rPr>
                <w:sz w:val="20"/>
              </w:rPr>
              <w:t>An event that, if it occurs, will cause modest (non-critical) problems in meeting compliance requirements associated with a NC3A direction/policy.</w:t>
            </w:r>
          </w:p>
        </w:tc>
      </w:tr>
      <w:tr>
        <w:trPr>
          <w:jc w:val="center"/>
        </w:trPr>
        <w:tc>
          <w:tcPr>
            <w:tcW w:w="1565" w:type="dxa"/>
            <w:vMerge/>
            <w:tcBorders>
              <w:left w:val="double" w:sz="4" w:space="0" w:color="auto"/>
              <w:bottom w:val="double" w:sz="4" w:space="0" w:color="auto"/>
            </w:tcBorders>
          </w:tcPr>
          <w:p>
            <w:pPr>
              <w:ind w:left="0"/>
              <w:rPr>
                <w:sz w:val="20"/>
                <w:szCs w:val="20"/>
              </w:rPr>
            </w:pPr>
          </w:p>
        </w:tc>
        <w:tc>
          <w:tcPr>
            <w:tcW w:w="1279" w:type="dxa"/>
            <w:tcBorders>
              <w:bottom w:val="double" w:sz="4" w:space="0" w:color="auto"/>
            </w:tcBorders>
          </w:tcPr>
          <w:p>
            <w:pPr>
              <w:ind w:left="0"/>
              <w:rPr>
                <w:sz w:val="20"/>
                <w:szCs w:val="20"/>
              </w:rPr>
            </w:pPr>
            <w:r>
              <w:rPr>
                <w:sz w:val="20"/>
                <w:szCs w:val="20"/>
              </w:rPr>
              <w:t>Low</w:t>
            </w:r>
          </w:p>
        </w:tc>
        <w:tc>
          <w:tcPr>
            <w:tcW w:w="5796" w:type="dxa"/>
            <w:tcBorders>
              <w:bottom w:val="double" w:sz="4" w:space="0" w:color="auto"/>
              <w:right w:val="double" w:sz="4" w:space="0" w:color="auto"/>
            </w:tcBorders>
          </w:tcPr>
          <w:p>
            <w:pPr>
              <w:pStyle w:val="Hyperlink"/>
              <w:ind w:left="0"/>
              <w:rPr>
                <w:sz w:val="20"/>
                <w:szCs w:val="20"/>
              </w:rPr>
            </w:pPr>
            <w:r>
              <w:rPr>
                <w:sz w:val="20"/>
                <w:szCs w:val="20"/>
              </w:rPr>
              <w:t>An event that, if it occurs, will cause little-to-no problems in meeting compliance requirements associated with a NC3A direction/policy.</w:t>
            </w:r>
          </w:p>
        </w:tc>
      </w:tr>
    </w:tbl>
    <w:p>
      <w:pPr>
        <w:pStyle w:val="Heading4"/>
      </w:pPr>
      <w:r>
        <w:t>Issue Log</w:t>
      </w:r>
    </w:p>
    <w:p>
      <w:pPr>
        <w:ind w:left="864"/>
      </w:pPr>
      <w:r>
        <w:t>A project issue is defined as a situation where enterprise integrity, operational performance, cost, or schedules are potentially impacted.  As a result, emerging issues must be managed, documented, and tracked using standard commercial practices that have a proven track record.  The commercial practice chosen by the ManTech Team is the use of the Issue Log.   The Issue Log is a documentation tool that enables the Program Management Team to maintain visibility over programmatic issues, solution strategies, impacts, status, and due dates. The PRINCE2 compliant Issue Log template, shown below, shall be used by the ManTech Team.</w:t>
      </w:r>
    </w:p>
    <w:p>
      <w:pPr>
        <w:tabs>
          <w:tab w:val="num" w:pos="1080"/>
        </w:tabs>
        <w:ind w:left="1440"/>
        <w:rPr>
          <w:rFonts w:ascii="Arial" w:hAnsi="Arial" w:cs="Arial"/>
          <w:b/>
          <w:i/>
          <w:iCs/>
        </w:rPr>
      </w:pPr>
    </w:p>
    <w:p>
      <w:pPr>
        <w:jc w:val="center"/>
      </w:pPr>
      <w:r>
        <w:rPr>
          <w:noProof/>
        </w:rPr>
        <w:drawing>
          <wp:inline distT="0" distB="0" distL="0" distR="0">
            <wp:extent cx="4087495" cy="307784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srcRect/>
                    <a:stretch>
                      <a:fillRect/>
                    </a:stretch>
                  </pic:blipFill>
                  <pic:spPr bwMode="auto">
                    <a:xfrm>
                      <a:off x="0" y="0"/>
                      <a:ext cx="4087495" cy="3077845"/>
                    </a:xfrm>
                    <a:prstGeom prst="rect">
                      <a:avLst/>
                    </a:prstGeom>
                    <a:noFill/>
                    <a:ln w="9525">
                      <a:noFill/>
                      <a:miter lim="800000"/>
                      <a:headEnd/>
                      <a:tailEnd/>
                    </a:ln>
                  </pic:spPr>
                </pic:pic>
              </a:graphicData>
            </a:graphic>
          </wp:inline>
        </w:drawing>
      </w:r>
    </w:p>
    <w:p>
      <w:pPr>
        <w:jc w:val="center"/>
      </w:pPr>
    </w:p>
    <w:p>
      <w:pPr>
        <w:jc w:val="center"/>
      </w:pPr>
      <w:r>
        <w:rPr>
          <w:noProof/>
        </w:rPr>
        <w:lastRenderedPageBreak/>
        <w:drawing>
          <wp:inline distT="0" distB="0" distL="0" distR="0">
            <wp:extent cx="4267200" cy="41122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srcRect/>
                    <a:stretch>
                      <a:fillRect/>
                    </a:stretch>
                  </pic:blipFill>
                  <pic:spPr bwMode="auto">
                    <a:xfrm>
                      <a:off x="0" y="0"/>
                      <a:ext cx="4267200" cy="4112260"/>
                    </a:xfrm>
                    <a:prstGeom prst="rect">
                      <a:avLst/>
                    </a:prstGeom>
                    <a:noFill/>
                    <a:ln w="9525">
                      <a:noFill/>
                      <a:miter lim="800000"/>
                      <a:headEnd/>
                      <a:tailEnd/>
                    </a:ln>
                  </pic:spPr>
                </pic:pic>
              </a:graphicData>
            </a:graphic>
          </wp:inline>
        </w:drawing>
      </w:r>
      <w:r>
        <w:br w:type="textWrapping" w:clear="all"/>
      </w:r>
    </w:p>
    <w:p>
      <w:pPr>
        <w:jc w:val="center"/>
      </w:pPr>
    </w:p>
    <w:p>
      <w:pPr>
        <w:jc w:val="center"/>
      </w:pPr>
      <w:r>
        <w:rPr>
          <w:noProof/>
        </w:rPr>
        <w:drawing>
          <wp:inline distT="0" distB="0" distL="0" distR="0">
            <wp:extent cx="4171950" cy="3072765"/>
            <wp:effectExtent l="0" t="0" r="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srcRect r="29776"/>
                    <a:stretch>
                      <a:fillRect/>
                    </a:stretch>
                  </pic:blipFill>
                  <pic:spPr bwMode="auto">
                    <a:xfrm>
                      <a:off x="0" y="0"/>
                      <a:ext cx="4171950" cy="3072765"/>
                    </a:xfrm>
                    <a:prstGeom prst="rect">
                      <a:avLst/>
                    </a:prstGeom>
                    <a:noFill/>
                    <a:ln w="9525">
                      <a:noFill/>
                      <a:miter lim="800000"/>
                      <a:headEnd/>
                      <a:tailEnd/>
                    </a:ln>
                  </pic:spPr>
                </pic:pic>
              </a:graphicData>
            </a:graphic>
          </wp:inline>
        </w:drawing>
      </w:r>
    </w:p>
    <w:p>
      <w:pPr>
        <w:pStyle w:val="Heading5"/>
      </w:pPr>
      <w:r>
        <w:lastRenderedPageBreak/>
        <w:t>Issues Type</w:t>
      </w:r>
    </w:p>
    <w:p>
      <w:pPr>
        <w:ind w:left="1008"/>
      </w:pPr>
      <w:r>
        <w:t xml:space="preserve">The headings </w:t>
      </w:r>
      <w:r>
        <w:t xml:space="preserve">in the issue log </w:t>
      </w:r>
      <w:r>
        <w:t xml:space="preserve">above are for the most part self explanatory.  When referring to Issue </w:t>
      </w:r>
      <w:r>
        <w:rPr>
          <w:b/>
          <w:i/>
        </w:rPr>
        <w:t>TYPE</w:t>
      </w:r>
      <w:r>
        <w:t>, the following applies:</w:t>
      </w:r>
    </w:p>
    <w:p>
      <w:pPr>
        <w:ind w:left="1008"/>
      </w:pPr>
    </w:p>
    <w:tbl>
      <w:tblPr>
        <w:tblStyle w:val="TableGrid"/>
        <w:tblW w:w="8640" w:type="dxa"/>
        <w:jc w:val="center"/>
        <w:tblLook w:val="01E0"/>
      </w:tblPr>
      <w:tblGrid>
        <w:gridCol w:w="1884"/>
        <w:gridCol w:w="6756"/>
      </w:tblGrid>
      <w:tr>
        <w:trPr>
          <w:jc w:val="center"/>
        </w:trPr>
        <w:tc>
          <w:tcPr>
            <w:tcW w:w="1884" w:type="dxa"/>
            <w:tcBorders>
              <w:top w:val="double" w:sz="4" w:space="0" w:color="auto"/>
              <w:left w:val="double" w:sz="4" w:space="0" w:color="auto"/>
              <w:bottom w:val="double" w:sz="4" w:space="0" w:color="auto"/>
              <w:right w:val="single" w:sz="4" w:space="0" w:color="FFFFFF"/>
            </w:tcBorders>
            <w:shd w:val="clear" w:color="auto" w:fill="000080"/>
          </w:tcPr>
          <w:p>
            <w:pPr>
              <w:ind w:left="0"/>
              <w:rPr>
                <w:b/>
                <w:caps/>
                <w:color w:val="FFFFFF"/>
                <w:sz w:val="20"/>
                <w:szCs w:val="20"/>
              </w:rPr>
            </w:pPr>
            <w:r>
              <w:rPr>
                <w:b/>
                <w:caps/>
                <w:color w:val="FFFFFF"/>
                <w:sz w:val="20"/>
                <w:szCs w:val="20"/>
              </w:rPr>
              <w:t>issue type</w:t>
            </w:r>
          </w:p>
        </w:tc>
        <w:tc>
          <w:tcPr>
            <w:tcW w:w="6756" w:type="dxa"/>
            <w:tcBorders>
              <w:top w:val="double" w:sz="4" w:space="0" w:color="auto"/>
              <w:left w:val="single" w:sz="4" w:space="0" w:color="FFFFFF"/>
              <w:bottom w:val="double" w:sz="4" w:space="0" w:color="auto"/>
              <w:right w:val="double" w:sz="4" w:space="0" w:color="auto"/>
            </w:tcBorders>
            <w:shd w:val="clear" w:color="auto" w:fill="000080"/>
          </w:tcPr>
          <w:p>
            <w:pPr>
              <w:ind w:left="0"/>
              <w:rPr>
                <w:b/>
                <w:caps/>
                <w:color w:val="FFFFFF"/>
                <w:sz w:val="20"/>
                <w:szCs w:val="20"/>
              </w:rPr>
            </w:pPr>
            <w:r>
              <w:rPr>
                <w:b/>
                <w:caps/>
                <w:color w:val="FFFFFF"/>
                <w:sz w:val="20"/>
                <w:szCs w:val="20"/>
              </w:rPr>
              <w:t>DESCRIPTION</w:t>
            </w:r>
          </w:p>
        </w:tc>
      </w:tr>
      <w:tr>
        <w:tblPrEx>
          <w:tblBorders>
            <w:top w:val="double" w:sz="4" w:space="0" w:color="auto"/>
            <w:left w:val="double" w:sz="4" w:space="0" w:color="auto"/>
            <w:bottom w:val="double" w:sz="4" w:space="0" w:color="auto"/>
            <w:right w:val="double" w:sz="4" w:space="0" w:color="auto"/>
          </w:tblBorders>
        </w:tblPrEx>
        <w:trPr>
          <w:jc w:val="center"/>
        </w:trPr>
        <w:tc>
          <w:tcPr>
            <w:tcW w:w="1884" w:type="dxa"/>
          </w:tcPr>
          <w:p>
            <w:pPr>
              <w:ind w:left="0"/>
              <w:rPr>
                <w:sz w:val="20"/>
                <w:szCs w:val="20"/>
              </w:rPr>
            </w:pPr>
            <w:r>
              <w:rPr>
                <w:sz w:val="20"/>
                <w:szCs w:val="20"/>
              </w:rPr>
              <w:t>General Issues</w:t>
            </w:r>
          </w:p>
        </w:tc>
        <w:tc>
          <w:tcPr>
            <w:tcW w:w="6756" w:type="dxa"/>
          </w:tcPr>
          <w:p>
            <w:pPr>
              <w:ind w:left="0"/>
              <w:rPr>
                <w:sz w:val="20"/>
                <w:szCs w:val="20"/>
              </w:rPr>
            </w:pPr>
            <w:r>
              <w:rPr>
                <w:sz w:val="20"/>
                <w:szCs w:val="20"/>
              </w:rPr>
              <w:t>General project issues can be raised about any area of the project that requires an answer or solution to rectify the it, e.g. the project has been delayed or a project is experiencing problems with a supplier etc. </w:t>
            </w:r>
          </w:p>
        </w:tc>
      </w:tr>
      <w:tr>
        <w:tblPrEx>
          <w:tblBorders>
            <w:top w:val="double" w:sz="4" w:space="0" w:color="auto"/>
            <w:left w:val="double" w:sz="4" w:space="0" w:color="auto"/>
            <w:bottom w:val="double" w:sz="4" w:space="0" w:color="auto"/>
            <w:right w:val="double" w:sz="4" w:space="0" w:color="auto"/>
          </w:tblBorders>
        </w:tblPrEx>
        <w:trPr>
          <w:jc w:val="center"/>
        </w:trPr>
        <w:tc>
          <w:tcPr>
            <w:tcW w:w="1884" w:type="dxa"/>
          </w:tcPr>
          <w:p>
            <w:pPr>
              <w:ind w:left="0"/>
              <w:rPr>
                <w:sz w:val="20"/>
                <w:szCs w:val="20"/>
              </w:rPr>
            </w:pPr>
            <w:r>
              <w:rPr>
                <w:sz w:val="20"/>
                <w:szCs w:val="20"/>
              </w:rPr>
              <w:t>Request For Change (RFC)</w:t>
            </w:r>
          </w:p>
        </w:tc>
        <w:tc>
          <w:tcPr>
            <w:tcW w:w="6756" w:type="dxa"/>
          </w:tcPr>
          <w:p>
            <w:pPr>
              <w:ind w:left="0"/>
              <w:rPr>
                <w:sz w:val="20"/>
                <w:szCs w:val="20"/>
              </w:rPr>
            </w:pPr>
            <w:r>
              <w:rPr>
                <w:sz w:val="20"/>
                <w:szCs w:val="20"/>
              </w:rPr>
              <w:t>A Request for Change can also be raised as a project issue. A Request for Change is the type of project issue that requests an alteration to an existing product description, e.g. if a user asks "I now want the main screen to use font size Arial 10, not Arial 12".</w:t>
            </w:r>
          </w:p>
        </w:tc>
      </w:tr>
      <w:tr>
        <w:tblPrEx>
          <w:tblBorders>
            <w:top w:val="double" w:sz="4" w:space="0" w:color="auto"/>
            <w:left w:val="double" w:sz="4" w:space="0" w:color="auto"/>
            <w:bottom w:val="double" w:sz="4" w:space="0" w:color="auto"/>
            <w:right w:val="double" w:sz="4" w:space="0" w:color="auto"/>
          </w:tblBorders>
        </w:tblPrEx>
        <w:trPr>
          <w:jc w:val="center"/>
        </w:trPr>
        <w:tc>
          <w:tcPr>
            <w:tcW w:w="1884" w:type="dxa"/>
          </w:tcPr>
          <w:p>
            <w:pPr>
              <w:ind w:left="0"/>
              <w:rPr>
                <w:sz w:val="20"/>
                <w:szCs w:val="20"/>
              </w:rPr>
            </w:pPr>
            <w:r>
              <w:rPr>
                <w:sz w:val="20"/>
                <w:szCs w:val="20"/>
              </w:rPr>
              <w:t>Off-Specification</w:t>
            </w:r>
          </w:p>
        </w:tc>
        <w:tc>
          <w:tcPr>
            <w:tcW w:w="6756" w:type="dxa"/>
          </w:tcPr>
          <w:p>
            <w:pPr>
              <w:ind w:left="0"/>
              <w:rPr>
                <w:sz w:val="20"/>
                <w:szCs w:val="20"/>
              </w:rPr>
            </w:pPr>
            <w:r>
              <w:rPr>
                <w:sz w:val="20"/>
                <w:szCs w:val="20"/>
              </w:rPr>
              <w:t xml:space="preserve">An Off Specification is the type of project issue raised when something that must </w:t>
            </w:r>
            <w:r>
              <w:rPr>
                <w:sz w:val="20"/>
                <w:szCs w:val="20"/>
              </w:rPr>
              <w:t xml:space="preserve">be provided by the project </w:t>
            </w:r>
            <w:r>
              <w:rPr>
                <w:sz w:val="20"/>
                <w:szCs w:val="20"/>
              </w:rPr>
              <w:t xml:space="preserve">is not currently or adequately provided for, it could be a missing product or the failure of a product (i.e. a product not meeting </w:t>
            </w:r>
            <w:r>
              <w:rPr>
                <w:sz w:val="20"/>
                <w:szCs w:val="20"/>
              </w:rPr>
              <w:t>its</w:t>
            </w:r>
            <w:r>
              <w:rPr>
                <w:sz w:val="20"/>
                <w:szCs w:val="20"/>
              </w:rPr>
              <w:t xml:space="preserve"> quality specification).</w:t>
            </w:r>
          </w:p>
        </w:tc>
      </w:tr>
    </w:tbl>
    <w:p>
      <w:pPr>
        <w:ind w:left="0"/>
      </w:pPr>
    </w:p>
    <w:p>
      <w:pPr>
        <w:autoSpaceDE w:val="0"/>
        <w:autoSpaceDN w:val="0"/>
        <w:adjustRightInd w:val="0"/>
        <w:spacing w:before="0"/>
        <w:ind w:left="0"/>
        <w:rPr>
          <w:rFonts w:ascii="Arial" w:hAnsi="Arial" w:cs="Arial"/>
          <w:sz w:val="16"/>
          <w:szCs w:val="16"/>
        </w:rPr>
      </w:pPr>
    </w:p>
    <w:p>
      <w:pPr>
        <w:pStyle w:val="Heading1"/>
      </w:pPr>
      <w:r>
        <w:tab/>
      </w:r>
      <w:bookmarkStart w:id="12" w:name="_Toc260245670"/>
      <w:r>
        <w:t xml:space="preserve">section </w:t>
      </w:r>
      <w:r>
        <w:t>4</w:t>
      </w:r>
      <w:r>
        <w:t xml:space="preserve"> - </w:t>
      </w:r>
      <w:r>
        <w:t>INTEGRATED LOGISTICS SUPPORT</w:t>
      </w:r>
      <w:bookmarkEnd w:id="12"/>
    </w:p>
    <w:p>
      <w:r>
        <w:t xml:space="preserve">Integrated Logistics Support for the NC3A </w:t>
      </w:r>
      <w:r>
        <w:t>Studio</w:t>
      </w:r>
      <w:r>
        <w:t xml:space="preserve"> VTC</w:t>
      </w:r>
      <w:r>
        <w:t xml:space="preserve"> Project</w:t>
      </w:r>
      <w:r>
        <w:t xml:space="preserve"> - </w:t>
      </w:r>
      <w:smartTag w:uri="urn:schemas-microsoft-com:office:smarttags" w:element="place">
        <w:smartTag w:uri="urn:schemas-microsoft-com:office:smarttags" w:element="City">
          <w:r>
            <w:t>Bydgoszcz</w:t>
          </w:r>
        </w:smartTag>
      </w:smartTag>
      <w:r>
        <w:t xml:space="preserve"> will encompass all implementation </w:t>
      </w:r>
      <w:r>
        <w:t xml:space="preserve">and O &amp; M </w:t>
      </w:r>
      <w:r>
        <w:t>activities.  Our ILS approach will be fully integrated within program planning and installation events.  Logistics products and services will be seamlessly interwoven between all program participants to ensure that the on-site technician is able to complete installation and testing by having the right resources at the right place and the right time. ILS activities will be fully integrated into Implementation Methodology during all program phases:</w:t>
      </w:r>
    </w:p>
    <w:p>
      <w:pPr>
        <w:pStyle w:val="ListBullet5"/>
      </w:pPr>
      <w:r>
        <w:t>Delivery</w:t>
      </w:r>
    </w:p>
    <w:p>
      <w:pPr>
        <w:pStyle w:val="ListBullet5"/>
      </w:pPr>
      <w:r>
        <w:t>Installation and Implementation Support Service</w:t>
      </w:r>
    </w:p>
    <w:p>
      <w:pPr>
        <w:pStyle w:val="ListBullet5"/>
      </w:pPr>
      <w:r>
        <w:t>Final Systems Acceptance (FSA)</w:t>
      </w:r>
    </w:p>
    <w:p>
      <w:pPr>
        <w:pStyle w:val="Heading2"/>
      </w:pPr>
      <w:bookmarkStart w:id="13" w:name="_Toc260245671"/>
      <w:r>
        <w:t xml:space="preserve">O &amp; M </w:t>
      </w:r>
      <w:r>
        <w:t xml:space="preserve"> REFERENCE MANUAL</w:t>
      </w:r>
      <w:bookmarkEnd w:id="13"/>
    </w:p>
    <w:p>
      <w:pPr>
        <w:ind w:left="576"/>
      </w:pPr>
      <w:r>
        <w:t xml:space="preserve">We will provide commercially available operator, maintenance and reference manuals </w:t>
      </w:r>
      <w:r>
        <w:t xml:space="preserve">and software required </w:t>
      </w:r>
      <w:r>
        <w:t>fo</w:t>
      </w:r>
      <w:r>
        <w:t xml:space="preserve">r installation and operation. </w:t>
      </w:r>
      <w:r>
        <w:t xml:space="preserve">  </w:t>
      </w:r>
    </w:p>
    <w:p>
      <w:pPr>
        <w:pStyle w:val="Heading2"/>
      </w:pPr>
      <w:bookmarkStart w:id="14" w:name="_Toc260245672"/>
      <w:r>
        <w:t>MAINTENANCE</w:t>
      </w:r>
      <w:bookmarkEnd w:id="14"/>
    </w:p>
    <w:p>
      <w:pPr>
        <w:ind w:left="576"/>
      </w:pPr>
      <w:r>
        <w:t>A 1 year Premier Maintenance Plan has been purchased as a part of this contract.  In the event of an equipment failure, support can be obtained by calling Polycom at:</w:t>
      </w:r>
    </w:p>
    <w:p>
      <w:pPr>
        <w:numPr>
          <w:ilvl w:val="0"/>
          <w:numId w:val="36"/>
        </w:numPr>
      </w:pPr>
      <w:r>
        <w:t>+1-800-POLYCOM</w:t>
      </w:r>
    </w:p>
    <w:p>
      <w:pPr>
        <w:pStyle w:val="Heading2"/>
      </w:pPr>
      <w:bookmarkStart w:id="15" w:name="_Toc260245673"/>
      <w:r>
        <w:t>TRANSPORTATION AND PACKAGING</w:t>
      </w:r>
      <w:bookmarkEnd w:id="15"/>
    </w:p>
    <w:p>
      <w:r>
        <w:t xml:space="preserve">Materials will be packaged and transported according to globally competitive best commercial practices. Transport and packaging FOB destination for installation and repaired material will be the responsibility of ManTech according to the agreed to </w:t>
      </w:r>
      <w:r>
        <w:lastRenderedPageBreak/>
        <w:t xml:space="preserve">schedule of supplies.  We will use our corporate provider for parcel, freight, packaging and customs services. </w:t>
      </w:r>
    </w:p>
    <w:p>
      <w:r>
        <w:t>ManTech</w:t>
      </w:r>
      <w:r>
        <w:t>/Polycom</w:t>
      </w:r>
      <w:r>
        <w:t xml:space="preserve"> will be fully responsible for transportation damage liability until the materials are accepted at shipments final destinations. </w:t>
      </w:r>
    </w:p>
    <w:p>
      <w:r>
        <w:t>We will engage our suppliers and carriers to coordinate transportation availability to meet the Schedule of Supplies and Services.</w:t>
      </w:r>
    </w:p>
    <w:p>
      <w:pPr>
        <w:pStyle w:val="Heading3"/>
      </w:pPr>
      <w:r>
        <w:t>Preservation and Packaging</w:t>
      </w:r>
    </w:p>
    <w:p>
      <w:r>
        <w:t xml:space="preserve">All supplies transported under this and associated contracts will be packaged to preserve materials operational qualities.  </w:t>
      </w:r>
    </w:p>
    <w:p>
      <w:pPr>
        <w:pStyle w:val="Heading3"/>
      </w:pPr>
      <w:r>
        <w:t>Packing List</w:t>
      </w:r>
    </w:p>
    <w:p>
      <w:r>
        <w:t xml:space="preserve">All materials shipped under this contract will contain easily identifiable packing list on and in each container.  Packing list will be affixed to shipment containers in weather proof protective pouches. Packing </w:t>
      </w:r>
      <w:r>
        <w:t>list,</w:t>
      </w:r>
      <w:r>
        <w:t xml:space="preserve"> at a minimum, will contain the requisite information shown in reference SOW.</w:t>
      </w:r>
    </w:p>
    <w:p>
      <w:pPr>
        <w:pStyle w:val="ListBullet5"/>
        <w:tabs>
          <w:tab w:val="clear" w:pos="1800"/>
          <w:tab w:val="num" w:pos="2520"/>
        </w:tabs>
        <w:ind w:left="2520"/>
      </w:pPr>
      <w:r>
        <w:t>The NC3A contract number</w:t>
      </w:r>
    </w:p>
    <w:p>
      <w:pPr>
        <w:pStyle w:val="ListBullet5"/>
        <w:tabs>
          <w:tab w:val="clear" w:pos="1800"/>
          <w:tab w:val="num" w:pos="2520"/>
        </w:tabs>
        <w:ind w:left="2520"/>
      </w:pPr>
      <w:r>
        <w:t xml:space="preserve">The NATO Project Number </w:t>
      </w:r>
    </w:p>
    <w:p>
      <w:pPr>
        <w:pStyle w:val="ListBullet5"/>
        <w:tabs>
          <w:tab w:val="clear" w:pos="1800"/>
          <w:tab w:val="num" w:pos="2520"/>
        </w:tabs>
        <w:ind w:left="2520"/>
      </w:pPr>
      <w:r>
        <w:t>Item description</w:t>
      </w:r>
    </w:p>
    <w:p>
      <w:pPr>
        <w:pStyle w:val="ListBullet5"/>
        <w:tabs>
          <w:tab w:val="clear" w:pos="1800"/>
          <w:tab w:val="num" w:pos="2520"/>
        </w:tabs>
        <w:ind w:left="2520"/>
      </w:pPr>
      <w:r>
        <w:t>Item part number and serial number</w:t>
      </w:r>
    </w:p>
    <w:p>
      <w:pPr>
        <w:pStyle w:val="ListBullet5"/>
        <w:tabs>
          <w:tab w:val="clear" w:pos="1800"/>
          <w:tab w:val="num" w:pos="2520"/>
        </w:tabs>
        <w:ind w:left="2520"/>
      </w:pPr>
      <w:r>
        <w:t>CLIN number as per the SSS</w:t>
      </w:r>
    </w:p>
    <w:p>
      <w:pPr>
        <w:pStyle w:val="ListBullet5"/>
        <w:tabs>
          <w:tab w:val="clear" w:pos="1800"/>
          <w:tab w:val="num" w:pos="2520"/>
        </w:tabs>
        <w:ind w:left="2520"/>
      </w:pPr>
      <w:r>
        <w:t>Name and address of the Contractor, the Purchaser and Consignor</w:t>
      </w:r>
    </w:p>
    <w:p>
      <w:pPr>
        <w:pStyle w:val="ListBullet5"/>
        <w:tabs>
          <w:tab w:val="clear" w:pos="1800"/>
          <w:tab w:val="num" w:pos="2520"/>
        </w:tabs>
        <w:ind w:left="2520"/>
      </w:pPr>
      <w:r>
        <w:t>Detailed weight and dimensions per box/pallet/container</w:t>
      </w:r>
    </w:p>
    <w:p>
      <w:pPr>
        <w:pStyle w:val="ListBullet5"/>
        <w:tabs>
          <w:tab w:val="clear" w:pos="1800"/>
          <w:tab w:val="num" w:pos="2520"/>
        </w:tabs>
        <w:ind w:left="2520"/>
      </w:pPr>
      <w:r>
        <w:t>Box number and number of boxes in the consignment</w:t>
      </w:r>
    </w:p>
    <w:p>
      <w:pPr>
        <w:pStyle w:val="Heading3"/>
      </w:pPr>
      <w:r>
        <w:t>Marking of Packing</w:t>
      </w:r>
    </w:p>
    <w:p>
      <w:r>
        <w:t xml:space="preserve">Shipments will be marked on external packing with project name, contract number, delivery address and point of contact. </w:t>
      </w:r>
    </w:p>
    <w:p>
      <w:pPr>
        <w:pStyle w:val="Heading3"/>
      </w:pPr>
      <w:r>
        <w:t>Customs Forms 302</w:t>
      </w:r>
    </w:p>
    <w:p>
      <w:r>
        <w:t xml:space="preserve">ManTech will </w:t>
      </w:r>
      <w:r>
        <w:t xml:space="preserve">provide a partial inventory that will contain all standard MDS required information with the exception of the serial number.  Upon delivery of the equipment to SHAPE, ManTech will complete </w:t>
      </w:r>
      <w:r>
        <w:t>the</w:t>
      </w:r>
      <w:r>
        <w:t xml:space="preserve"> MDS </w:t>
      </w:r>
      <w:r>
        <w:t>and forward it to</w:t>
      </w:r>
      <w:r>
        <w:t xml:space="preserve"> Mr. Chris Lucas at NC3A.</w:t>
      </w:r>
    </w:p>
    <w:p>
      <w:pPr>
        <w:pStyle w:val="Heading3"/>
      </w:pPr>
      <w:r>
        <w:t>Notice of Shipment</w:t>
      </w:r>
    </w:p>
    <w:p>
      <w:r>
        <w:t>All equipment will be shipped directly from Polycom’s warehouse in Rotterdam to the SHAPE warehouse.  As soon as ManTech receives notification of the shipment, we will notify the NC3A PM, Patrick Pennamen.</w:t>
      </w:r>
    </w:p>
    <w:p>
      <w:r>
        <w:t xml:space="preserve">Furthermore, </w:t>
      </w:r>
      <w:r>
        <w:t xml:space="preserve">ManTech will coordinate all shipments </w:t>
      </w:r>
      <w:r>
        <w:t>from SHAPE to Afghanistan with the in-theatre POC.</w:t>
      </w:r>
    </w:p>
    <w:p>
      <w:pPr>
        <w:pStyle w:val="Heading3"/>
        <w:tabs>
          <w:tab w:val="clear" w:pos="720"/>
          <w:tab w:val="num" w:pos="540"/>
        </w:tabs>
      </w:pPr>
      <w:r>
        <w:t>Inventory of Supplies</w:t>
      </w:r>
    </w:p>
    <w:p>
      <w:pPr>
        <w:ind w:left="540"/>
      </w:pPr>
      <w:r>
        <w:t>ManTech will maintain inventory records of all items required for installation, operation and maintenance for each site.  Our on-site representative will co-inventory each location with a NCSA representative to ensure inventory accuracy and completeness.  Our</w:t>
      </w:r>
      <w:r>
        <w:t xml:space="preserve"> initial</w:t>
      </w:r>
      <w:r>
        <w:t xml:space="preserve"> </w:t>
      </w:r>
      <w:r>
        <w:lastRenderedPageBreak/>
        <w:t xml:space="preserve">inventory records will be provided prior to delivery.  </w:t>
      </w:r>
      <w:r>
        <w:t xml:space="preserve">Upon completion of the installation phase a “final” inventory document will be provided.  </w:t>
      </w:r>
      <w:r>
        <w:t>Our logistical technicians will identify each item expendability code along with Next Higher Assembly information.</w:t>
      </w:r>
    </w:p>
    <w:p>
      <w:pPr>
        <w:pStyle w:val="Heading1"/>
        <w:rPr>
          <w:szCs w:val="24"/>
        </w:rPr>
      </w:pPr>
      <w:bookmarkStart w:id="16" w:name="_Toc260245674"/>
      <w:r>
        <w:t xml:space="preserve">section </w:t>
      </w:r>
      <w:r>
        <w:t>5</w:t>
      </w:r>
      <w:r>
        <w:t xml:space="preserve"> - </w:t>
      </w:r>
      <w:r>
        <w:rPr>
          <w:szCs w:val="28"/>
        </w:rPr>
        <w:t>SECURITY</w:t>
      </w:r>
      <w:bookmarkEnd w:id="16"/>
    </w:p>
    <w:p>
      <w:pPr>
        <w:ind w:left="561"/>
      </w:pPr>
      <w:r>
        <w:t>This section describes the minimum</w:t>
      </w:r>
      <w:r>
        <w:t xml:space="preserve"> security requirements for the n</w:t>
      </w:r>
      <w:r>
        <w:t xml:space="preserve">etwork, in accordance with current NATO security policies. For this project ManTech personnel will be connecting to the NC3A network. </w:t>
      </w:r>
      <w:bookmarkStart w:id="17" w:name="_Ref511189931"/>
    </w:p>
    <w:p>
      <w:pPr>
        <w:pStyle w:val="Heading2"/>
      </w:pPr>
      <w:bookmarkStart w:id="18" w:name="_Toc260245675"/>
      <w:bookmarkEnd w:id="17"/>
      <w:r>
        <w:t>Electronic Devices</w:t>
      </w:r>
      <w:bookmarkEnd w:id="18"/>
    </w:p>
    <w:p>
      <w:pPr>
        <w:ind w:left="576"/>
      </w:pPr>
      <w:r>
        <w:t>ManTech personnel understand there are restrictions regarding the admittance of electronic devices in to secure locations.</w:t>
      </w:r>
    </w:p>
    <w:p>
      <w:pPr>
        <w:pStyle w:val="Heading2"/>
      </w:pPr>
      <w:bookmarkStart w:id="19" w:name="_Toc260245676"/>
      <w:r>
        <w:t>Clearances</w:t>
      </w:r>
      <w:bookmarkEnd w:id="19"/>
    </w:p>
    <w:p>
      <w:pPr>
        <w:ind w:left="576"/>
        <w:rPr>
          <w:color w:val="000000"/>
        </w:rPr>
      </w:pPr>
      <w:r>
        <w:t>ManTech personnel will have appropriate NATO Secret security clearances at the time of contract execution</w:t>
      </w:r>
      <w:r>
        <w:rPr>
          <w:color w:val="000000"/>
        </w:rPr>
        <w:t>.</w:t>
      </w:r>
    </w:p>
    <w:p>
      <w:pPr>
        <w:ind w:left="0" w:firstLine="720"/>
        <w:rPr>
          <w:color w:val="FF0000"/>
          <w:lang w:val="en-GB"/>
        </w:rPr>
      </w:pPr>
    </w:p>
    <w:sectPr>
      <w:type w:val="continuous"/>
      <w:pgSz w:w="12240" w:h="15840" w:code="1"/>
      <w:pgMar w:top="1598"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D04" w:rsidRDefault="00737D04">
      <w:r>
        <w:separator/>
      </w:r>
    </w:p>
  </w:endnote>
  <w:endnote w:type="continuationSeparator" w:id="1">
    <w:p w:rsidR="00737D04" w:rsidRDefault="00737D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New Roman Bold">
    <w:panose1 w:val="02020803070505020304"/>
    <w:charset w:val="00"/>
    <w:family w:val="auto"/>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0C6" w:rsidRDefault="00EA70C6" w:rsidP="00D941EF">
    <w:pPr>
      <w:pStyle w:val="Footer"/>
      <w:spacing w:before="0"/>
      <w:ind w:left="0"/>
      <w:jc w:val="center"/>
      <w:rPr>
        <w:b/>
        <w:i/>
        <w:sz w:val="20"/>
        <w:szCs w:val="20"/>
      </w:rPr>
    </w:pPr>
    <w:r w:rsidRPr="00FA1CB4">
      <w:rPr>
        <w:noProof/>
        <w:sz w:val="20"/>
        <w:szCs w:val="20"/>
      </w:rPr>
      <w:pict>
        <v:line id="_x0000_s2059" style="position:absolute;left:0;text-align:left;z-index:251657216" from=".2pt,4.6pt" to="468.2pt,4.6pt" strokeweight="3pt">
          <v:stroke linestyle="thinThin"/>
          <w10:wrap type="topAndBottom"/>
        </v:line>
      </w:pict>
    </w:r>
  </w:p>
  <w:p w:rsidR="00EA70C6" w:rsidRPr="00D941EF" w:rsidRDefault="00EA70C6" w:rsidP="00D941EF">
    <w:pPr>
      <w:pStyle w:val="Footer"/>
      <w:spacing w:before="0"/>
      <w:ind w:left="0"/>
      <w:jc w:val="center"/>
      <w:rPr>
        <w:sz w:val="20"/>
        <w:szCs w:val="20"/>
      </w:rPr>
    </w:pPr>
    <w:r>
      <w:rPr>
        <w:b/>
        <w:i/>
        <w:sz w:val="20"/>
        <w:szCs w:val="20"/>
      </w:rPr>
      <w:t>NATO UNCLASSIFIED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0C6" w:rsidRDefault="00A42411" w:rsidP="00D941EF">
    <w:pPr>
      <w:pStyle w:val="Footer"/>
      <w:spacing w:before="0"/>
      <w:ind w:left="0"/>
      <w:jc w:val="right"/>
      <w:rPr>
        <w:rStyle w:val="PageNumber"/>
        <w:sz w:val="20"/>
        <w:szCs w:val="20"/>
      </w:rPr>
    </w:pPr>
    <w:r>
      <w:rPr>
        <w:noProof/>
        <w:sz w:val="20"/>
        <w:szCs w:val="20"/>
      </w:rPr>
      <w:drawing>
        <wp:anchor distT="0" distB="0" distL="114300" distR="114300" simplePos="0" relativeHeight="251659264" behindDoc="1" locked="0" layoutInCell="1" allowOverlap="1">
          <wp:simplePos x="0" y="0"/>
          <wp:positionH relativeFrom="column">
            <wp:posOffset>-474980</wp:posOffset>
          </wp:positionH>
          <wp:positionV relativeFrom="paragraph">
            <wp:posOffset>54610</wp:posOffset>
          </wp:positionV>
          <wp:extent cx="988060" cy="311150"/>
          <wp:effectExtent l="19050" t="0" r="2540" b="0"/>
          <wp:wrapNone/>
          <wp:docPr id="3" name="Picture 1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titled"/>
                  <pic:cNvPicPr>
                    <a:picLocks noChangeAspect="1" noChangeArrowheads="1"/>
                  </pic:cNvPicPr>
                </pic:nvPicPr>
                <pic:blipFill>
                  <a:blip r:embed="rId1">
                    <a:clrChange>
                      <a:clrFrom>
                        <a:srgbClr val="E2283D"/>
                      </a:clrFrom>
                      <a:clrTo>
                        <a:srgbClr val="E2283D">
                          <a:alpha val="0"/>
                        </a:srgbClr>
                      </a:clrTo>
                    </a:clrChange>
                  </a:blip>
                  <a:srcRect/>
                  <a:stretch>
                    <a:fillRect/>
                  </a:stretch>
                </pic:blipFill>
                <pic:spPr bwMode="auto">
                  <a:xfrm>
                    <a:off x="0" y="0"/>
                    <a:ext cx="988060" cy="311150"/>
                  </a:xfrm>
                  <a:prstGeom prst="rect">
                    <a:avLst/>
                  </a:prstGeom>
                  <a:noFill/>
                  <a:ln w="9525">
                    <a:noFill/>
                    <a:miter lim="800000"/>
                    <a:headEnd/>
                    <a:tailEnd/>
                  </a:ln>
                </pic:spPr>
              </pic:pic>
            </a:graphicData>
          </a:graphic>
        </wp:anchor>
      </w:drawing>
    </w:r>
    <w:r w:rsidR="00EA70C6" w:rsidRPr="00FA1CB4">
      <w:rPr>
        <w:noProof/>
        <w:sz w:val="20"/>
        <w:szCs w:val="20"/>
      </w:rPr>
      <w:pict>
        <v:line id="_x0000_s2060" style="position:absolute;left:0;text-align:left;z-index:251658240;mso-position-horizontal-relative:text;mso-position-vertical-relative:text" from="0,-.55pt" to="468pt,-.55pt" strokeweight="3pt">
          <v:stroke linestyle="thinThin"/>
          <w10:wrap type="topAndBottom"/>
        </v:line>
      </w:pict>
    </w:r>
    <w:r w:rsidR="00EA70C6" w:rsidRPr="00FA1CB4">
      <w:rPr>
        <w:rStyle w:val="PageNumber"/>
        <w:sz w:val="20"/>
        <w:szCs w:val="20"/>
      </w:rPr>
      <w:fldChar w:fldCharType="begin"/>
    </w:r>
    <w:r w:rsidR="00EA70C6" w:rsidRPr="00FA1CB4">
      <w:rPr>
        <w:rStyle w:val="PageNumber"/>
        <w:sz w:val="20"/>
        <w:szCs w:val="20"/>
      </w:rPr>
      <w:instrText xml:space="preserve"> PAGE </w:instrText>
    </w:r>
    <w:r w:rsidR="00EA70C6" w:rsidRPr="00FA1CB4">
      <w:rPr>
        <w:rStyle w:val="PageNumber"/>
        <w:sz w:val="20"/>
        <w:szCs w:val="20"/>
      </w:rPr>
      <w:fldChar w:fldCharType="separate"/>
    </w:r>
    <w:r w:rsidR="00B06764">
      <w:rPr>
        <w:rStyle w:val="PageNumber"/>
        <w:noProof/>
        <w:sz w:val="20"/>
        <w:szCs w:val="20"/>
      </w:rPr>
      <w:t>2</w:t>
    </w:r>
    <w:r w:rsidR="00EA70C6" w:rsidRPr="00FA1CB4">
      <w:rPr>
        <w:rStyle w:val="PageNumber"/>
        <w:sz w:val="20"/>
        <w:szCs w:val="20"/>
      </w:rPr>
      <w:fldChar w:fldCharType="end"/>
    </w:r>
  </w:p>
  <w:p w:rsidR="00EA70C6" w:rsidRPr="00D941EF" w:rsidRDefault="00EA70C6" w:rsidP="00D941EF">
    <w:pPr>
      <w:pStyle w:val="Footer"/>
      <w:spacing w:before="0"/>
      <w:ind w:left="0"/>
      <w:jc w:val="center"/>
      <w:rPr>
        <w:sz w:val="20"/>
        <w:szCs w:val="20"/>
      </w:rPr>
    </w:pPr>
    <w:r>
      <w:rPr>
        <w:b/>
        <w:i/>
        <w:sz w:val="20"/>
        <w:szCs w:val="20"/>
      </w:rPr>
      <w:t xml:space="preserve">NATO UNCLASSIFIED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0C6" w:rsidRDefault="00EA70C6" w:rsidP="00990B1D">
    <w:pPr>
      <w:pStyle w:val="Footer"/>
      <w:spacing w:before="0"/>
      <w:ind w:left="0"/>
      <w:jc w:val="center"/>
      <w:rPr>
        <w:rStyle w:val="PageNumber"/>
        <w:sz w:val="20"/>
        <w:szCs w:val="20"/>
      </w:rPr>
    </w:pPr>
    <w:r w:rsidRPr="00FA1CB4">
      <w:rPr>
        <w:noProof/>
        <w:sz w:val="20"/>
        <w:szCs w:val="20"/>
      </w:rPr>
      <w:pict>
        <v:line id="_x0000_s2058" style="position:absolute;left:0;text-align:left;z-index:251656192" from="0,2.85pt" to="468pt,2.85pt" strokeweight="3pt">
          <v:stroke linestyle="thinThin"/>
          <w10:wrap type="topAndBottom"/>
        </v:line>
      </w:pict>
    </w:r>
  </w:p>
  <w:p w:rsidR="00EA70C6" w:rsidRDefault="00EA70C6" w:rsidP="00990B1D">
    <w:pPr>
      <w:pStyle w:val="Footer"/>
      <w:spacing w:before="0"/>
      <w:ind w:left="0"/>
      <w:jc w:val="center"/>
      <w:rPr>
        <w:rStyle w:val="PageNumber"/>
        <w:sz w:val="20"/>
        <w:szCs w:val="20"/>
      </w:rPr>
    </w:pPr>
    <w:r w:rsidRPr="00FA1CB4">
      <w:rPr>
        <w:rStyle w:val="PageNumber"/>
        <w:sz w:val="20"/>
        <w:szCs w:val="20"/>
      </w:rPr>
      <w:fldChar w:fldCharType="begin"/>
    </w:r>
    <w:r w:rsidRPr="00FA1CB4">
      <w:rPr>
        <w:rStyle w:val="PageNumber"/>
        <w:sz w:val="20"/>
        <w:szCs w:val="20"/>
      </w:rPr>
      <w:instrText xml:space="preserve"> PAGE </w:instrText>
    </w:r>
    <w:r w:rsidRPr="00FA1CB4">
      <w:rPr>
        <w:rStyle w:val="PageNumber"/>
        <w:sz w:val="20"/>
        <w:szCs w:val="20"/>
      </w:rPr>
      <w:fldChar w:fldCharType="separate"/>
    </w:r>
    <w:r w:rsidR="00B06764">
      <w:rPr>
        <w:rStyle w:val="PageNumber"/>
        <w:noProof/>
        <w:sz w:val="20"/>
        <w:szCs w:val="20"/>
      </w:rPr>
      <w:t>11</w:t>
    </w:r>
    <w:r w:rsidRPr="00FA1CB4">
      <w:rPr>
        <w:rStyle w:val="PageNumber"/>
        <w:sz w:val="20"/>
        <w:szCs w:val="20"/>
      </w:rPr>
      <w:fldChar w:fldCharType="end"/>
    </w:r>
  </w:p>
  <w:p w:rsidR="00EA70C6" w:rsidRPr="00B60F56" w:rsidRDefault="00A42411" w:rsidP="00990B1D">
    <w:pPr>
      <w:pStyle w:val="Footer"/>
      <w:spacing w:before="0"/>
      <w:ind w:left="0"/>
      <w:jc w:val="center"/>
      <w:rPr>
        <w:b/>
        <w:i/>
        <w:sz w:val="20"/>
        <w:szCs w:val="20"/>
      </w:rPr>
    </w:pPr>
    <w:r>
      <w:rPr>
        <w:b/>
        <w:i/>
        <w:noProof/>
        <w:sz w:val="20"/>
        <w:szCs w:val="20"/>
      </w:rPr>
      <w:drawing>
        <wp:anchor distT="0" distB="0" distL="114300" distR="114300" simplePos="0" relativeHeight="251655168" behindDoc="0" locked="0" layoutInCell="1" allowOverlap="1">
          <wp:simplePos x="0" y="0"/>
          <wp:positionH relativeFrom="column">
            <wp:posOffset>-356235</wp:posOffset>
          </wp:positionH>
          <wp:positionV relativeFrom="paragraph">
            <wp:posOffset>57785</wp:posOffset>
          </wp:positionV>
          <wp:extent cx="1068705" cy="336550"/>
          <wp:effectExtent l="19050" t="0" r="0" b="0"/>
          <wp:wrapSquare wrapText="bothSides"/>
          <wp:docPr id="9" name="Picture 9"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titled"/>
                  <pic:cNvPicPr>
                    <a:picLocks noChangeAspect="1" noChangeArrowheads="1"/>
                  </pic:cNvPicPr>
                </pic:nvPicPr>
                <pic:blipFill>
                  <a:blip r:embed="rId1"/>
                  <a:srcRect/>
                  <a:stretch>
                    <a:fillRect/>
                  </a:stretch>
                </pic:blipFill>
                <pic:spPr bwMode="auto">
                  <a:xfrm>
                    <a:off x="0" y="0"/>
                    <a:ext cx="1068705" cy="336550"/>
                  </a:xfrm>
                  <a:prstGeom prst="rect">
                    <a:avLst/>
                  </a:prstGeom>
                  <a:noFill/>
                  <a:ln w="9525">
                    <a:noFill/>
                    <a:miter lim="800000"/>
                    <a:headEnd/>
                    <a:tailEnd/>
                  </a:ln>
                </pic:spPr>
              </pic:pic>
            </a:graphicData>
          </a:graphic>
        </wp:anchor>
      </w:drawing>
    </w:r>
    <w:r w:rsidR="00EA70C6">
      <w:rPr>
        <w:b/>
        <w:i/>
        <w:sz w:val="20"/>
        <w:szCs w:val="20"/>
      </w:rPr>
      <w:t>NATO UNCLASSIFIED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D04" w:rsidRDefault="00737D04">
      <w:r>
        <w:separator/>
      </w:r>
    </w:p>
  </w:footnote>
  <w:footnote w:type="continuationSeparator" w:id="1">
    <w:p w:rsidR="00737D04" w:rsidRDefault="00737D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0C6" w:rsidRPr="00123F7E" w:rsidRDefault="00EA70C6" w:rsidP="007045B9">
    <w:pPr>
      <w:pStyle w:val="Header"/>
    </w:pPr>
    <w:r>
      <w:rPr>
        <w:noProof/>
      </w:rPr>
      <w:pict>
        <v:line id="_x0000_s2054" style="position:absolute;left:0;text-align:left;z-index:251654144" from="-.5pt,7.95pt" to="467.5pt,7.95pt" strokeweight="3pt">
          <v:stroke linestyle="thinThin"/>
          <w10:wrap type="topAndBottom"/>
        </v:line>
      </w:pict>
    </w:r>
  </w:p>
  <w:p w:rsidR="00EA70C6" w:rsidRDefault="00EA70C6" w:rsidP="007045B9">
    <w:pPr>
      <w:pStyle w:val="Header"/>
      <w:spacing w:before="0"/>
      <w:jc w:val="right"/>
      <w:rPr>
        <w:b/>
        <w:i/>
        <w:sz w:val="20"/>
        <w:szCs w:val="20"/>
      </w:rPr>
    </w:pPr>
  </w:p>
  <w:p w:rsidR="00EA70C6" w:rsidRDefault="00EA70C6" w:rsidP="007045B9">
    <w:pPr>
      <w:pStyle w:val="Header"/>
      <w:spacing w:before="0"/>
      <w:jc w:val="right"/>
      <w:rPr>
        <w:b/>
        <w:i/>
        <w:sz w:val="20"/>
        <w:szCs w:val="20"/>
      </w:rPr>
    </w:pPr>
  </w:p>
  <w:p w:rsidR="00EA70C6" w:rsidRPr="00FA1CB4" w:rsidRDefault="00EA70C6" w:rsidP="007045B9">
    <w:pPr>
      <w:pStyle w:val="Header"/>
      <w:spacing w:before="0"/>
      <w:jc w:val="right"/>
      <w:rPr>
        <w:b/>
        <w: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0C6" w:rsidRDefault="00361FF2" w:rsidP="0085706A">
    <w:pPr>
      <w:pStyle w:val="Header"/>
      <w:spacing w:before="0"/>
      <w:jc w:val="right"/>
      <w:rPr>
        <w:b/>
        <w:i/>
        <w:noProof/>
        <w:sz w:val="20"/>
        <w:szCs w:val="20"/>
      </w:rPr>
    </w:pPr>
    <w:r>
      <w:rPr>
        <w:b/>
        <w:i/>
        <w:noProof/>
        <w:sz w:val="20"/>
        <w:szCs w:val="20"/>
      </w:rPr>
      <w:t>Afghanistan Mission Network – VTC</w:t>
    </w:r>
  </w:p>
  <w:p w:rsidR="00361FF2" w:rsidRPr="00FA1CB4" w:rsidRDefault="00361FF2" w:rsidP="0085706A">
    <w:pPr>
      <w:pStyle w:val="Header"/>
      <w:spacing w:before="0"/>
      <w:jc w:val="right"/>
      <w:rPr>
        <w:b/>
        <w:i/>
        <w:sz w:val="20"/>
        <w:szCs w:val="20"/>
      </w:rPr>
    </w:pPr>
    <w:r>
      <w:rPr>
        <w:b/>
        <w:i/>
        <w:noProof/>
        <w:sz w:val="20"/>
        <w:szCs w:val="20"/>
      </w:rPr>
      <w:t>CO-13039-VMN</w:t>
    </w:r>
  </w:p>
  <w:p w:rsidR="00EA70C6" w:rsidRPr="0085706A" w:rsidRDefault="00EA70C6" w:rsidP="007045B9">
    <w:pPr>
      <w:pStyle w:val="Header"/>
      <w:spacing w:before="0"/>
      <w:jc w:val="right"/>
      <w:rPr>
        <w:b/>
        <w:i/>
        <w:sz w:val="20"/>
        <w:szCs w:val="20"/>
      </w:rPr>
    </w:pPr>
    <w:r w:rsidRPr="0085706A">
      <w:rPr>
        <w:b/>
        <w:i/>
        <w:sz w:val="20"/>
        <w:szCs w:val="20"/>
      </w:rPr>
      <w:pict>
        <v:line id="_x0000_s2051" style="position:absolute;left:0;text-align:left;z-index:251653120" from="0,21.3pt" to="468pt,21.3pt" strokeweight="3pt">
          <v:stroke linestyle="thinThin"/>
          <w10:wrap type="topAndBottom"/>
        </v:line>
      </w:pict>
    </w:r>
    <w:r>
      <w:rPr>
        <w:b/>
        <w:i/>
        <w:sz w:val="20"/>
        <w:szCs w:val="20"/>
      </w:rPr>
      <w:t xml:space="preserve"> </w:t>
    </w:r>
    <w:r w:rsidRPr="0085706A">
      <w:rPr>
        <w:b/>
        <w:i/>
        <w:sz w:val="20"/>
        <w:szCs w:val="20"/>
      </w:rPr>
      <w:t>Project Implementation Plan (PIP)</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0C6" w:rsidRDefault="00FC4EB2" w:rsidP="0033399F">
    <w:pPr>
      <w:pStyle w:val="Header"/>
      <w:spacing w:before="0"/>
      <w:jc w:val="right"/>
      <w:rPr>
        <w:b/>
        <w:i/>
        <w:noProof/>
        <w:sz w:val="20"/>
        <w:szCs w:val="20"/>
      </w:rPr>
    </w:pPr>
    <w:r>
      <w:rPr>
        <w:b/>
        <w:i/>
        <w:noProof/>
        <w:sz w:val="20"/>
        <w:szCs w:val="20"/>
      </w:rPr>
      <w:t>Afghanistan Mission Network – VTC</w:t>
    </w:r>
  </w:p>
  <w:p w:rsidR="00FC4EB2" w:rsidRPr="00FA1CB4" w:rsidRDefault="00FC4EB2" w:rsidP="0033399F">
    <w:pPr>
      <w:pStyle w:val="Header"/>
      <w:spacing w:before="0"/>
      <w:jc w:val="right"/>
      <w:rPr>
        <w:b/>
        <w:i/>
        <w:sz w:val="20"/>
        <w:szCs w:val="20"/>
      </w:rPr>
    </w:pPr>
    <w:r>
      <w:rPr>
        <w:b/>
        <w:i/>
        <w:noProof/>
        <w:sz w:val="20"/>
        <w:szCs w:val="20"/>
      </w:rPr>
      <w:t>CO-13039-VMN</w:t>
    </w:r>
  </w:p>
  <w:p w:rsidR="00EA70C6" w:rsidRPr="0085706A" w:rsidRDefault="00EA70C6" w:rsidP="0033399F">
    <w:pPr>
      <w:pStyle w:val="Header"/>
      <w:spacing w:before="0"/>
      <w:jc w:val="right"/>
      <w:rPr>
        <w:b/>
        <w:i/>
        <w:sz w:val="20"/>
        <w:szCs w:val="20"/>
      </w:rPr>
    </w:pPr>
    <w:r w:rsidRPr="0085706A">
      <w:rPr>
        <w:b/>
        <w:i/>
        <w:sz w:val="20"/>
        <w:szCs w:val="20"/>
      </w:rPr>
      <w:pict>
        <v:line id="_x0000_s2063" style="position:absolute;left:0;text-align:left;z-index:251661312" from="0,21.3pt" to="468pt,21.3pt" strokeweight="3pt">
          <v:stroke linestyle="thinThin"/>
          <w10:wrap type="topAndBottom"/>
        </v:line>
      </w:pict>
    </w:r>
    <w:r>
      <w:rPr>
        <w:b/>
        <w:i/>
        <w:sz w:val="20"/>
        <w:szCs w:val="20"/>
      </w:rPr>
      <w:t xml:space="preserve"> </w:t>
    </w:r>
    <w:r w:rsidRPr="0085706A">
      <w:rPr>
        <w:b/>
        <w:i/>
        <w:sz w:val="20"/>
        <w:szCs w:val="20"/>
      </w:rPr>
      <w:t>Project Implementation Plan (PIP)</w:t>
    </w:r>
  </w:p>
  <w:p w:rsidR="00EA70C6" w:rsidRPr="0033399F" w:rsidRDefault="00EA70C6" w:rsidP="0033399F">
    <w:pPr>
      <w:pStyle w:val="Header"/>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C30FC7C"/>
    <w:lvl w:ilvl="0">
      <w:start w:val="1"/>
      <w:numFmt w:val="decimal"/>
      <w:lvlText w:val="%1."/>
      <w:lvlJc w:val="left"/>
      <w:pPr>
        <w:tabs>
          <w:tab w:val="num" w:pos="1800"/>
        </w:tabs>
        <w:ind w:left="1800" w:hanging="360"/>
      </w:pPr>
    </w:lvl>
  </w:abstractNum>
  <w:abstractNum w:abstractNumId="1">
    <w:nsid w:val="FFFFFF7D"/>
    <w:multiLevelType w:val="singleLevel"/>
    <w:tmpl w:val="6E506230"/>
    <w:lvl w:ilvl="0">
      <w:start w:val="1"/>
      <w:numFmt w:val="decimal"/>
      <w:lvlText w:val="%1."/>
      <w:lvlJc w:val="left"/>
      <w:pPr>
        <w:tabs>
          <w:tab w:val="num" w:pos="1440"/>
        </w:tabs>
        <w:ind w:left="1440" w:hanging="360"/>
      </w:pPr>
    </w:lvl>
  </w:abstractNum>
  <w:abstractNum w:abstractNumId="2">
    <w:nsid w:val="FFFFFF7E"/>
    <w:multiLevelType w:val="singleLevel"/>
    <w:tmpl w:val="5D6C6F76"/>
    <w:lvl w:ilvl="0">
      <w:start w:val="1"/>
      <w:numFmt w:val="decimal"/>
      <w:lvlText w:val="%1."/>
      <w:lvlJc w:val="left"/>
      <w:pPr>
        <w:tabs>
          <w:tab w:val="num" w:pos="1080"/>
        </w:tabs>
        <w:ind w:left="1080" w:hanging="360"/>
      </w:pPr>
    </w:lvl>
  </w:abstractNum>
  <w:abstractNum w:abstractNumId="3">
    <w:nsid w:val="FFFFFF7F"/>
    <w:multiLevelType w:val="singleLevel"/>
    <w:tmpl w:val="435EF7D6"/>
    <w:lvl w:ilvl="0">
      <w:start w:val="1"/>
      <w:numFmt w:val="decimal"/>
      <w:lvlText w:val="%1."/>
      <w:lvlJc w:val="left"/>
      <w:pPr>
        <w:tabs>
          <w:tab w:val="num" w:pos="720"/>
        </w:tabs>
        <w:ind w:left="720" w:hanging="360"/>
      </w:pPr>
    </w:lvl>
  </w:abstractNum>
  <w:abstractNum w:abstractNumId="4">
    <w:nsid w:val="FFFFFF80"/>
    <w:multiLevelType w:val="singleLevel"/>
    <w:tmpl w:val="20A47D46"/>
    <w:lvl w:ilvl="0">
      <w:start w:val="1"/>
      <w:numFmt w:val="bullet"/>
      <w:pStyle w:val="ListBullet5"/>
      <w:lvlText w:val=""/>
      <w:lvlJc w:val="left"/>
      <w:pPr>
        <w:tabs>
          <w:tab w:val="num" w:pos="1800"/>
        </w:tabs>
        <w:ind w:left="1800" w:hanging="360"/>
      </w:pPr>
      <w:rPr>
        <w:rFonts w:ascii="Symbol" w:hAnsi="Symbol" w:hint="default"/>
        <w:sz w:val="20"/>
        <w:szCs w:val="20"/>
      </w:rPr>
    </w:lvl>
  </w:abstractNum>
  <w:abstractNum w:abstractNumId="5">
    <w:nsid w:val="FFFFFF81"/>
    <w:multiLevelType w:val="singleLevel"/>
    <w:tmpl w:val="881641C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8A0F8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D50BB6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8025C9C"/>
    <w:lvl w:ilvl="0">
      <w:start w:val="1"/>
      <w:numFmt w:val="decimal"/>
      <w:lvlText w:val="%1."/>
      <w:lvlJc w:val="left"/>
      <w:pPr>
        <w:tabs>
          <w:tab w:val="num" w:pos="360"/>
        </w:tabs>
        <w:ind w:left="360" w:hanging="360"/>
      </w:pPr>
    </w:lvl>
  </w:abstractNum>
  <w:abstractNum w:abstractNumId="9">
    <w:nsid w:val="FFFFFF89"/>
    <w:multiLevelType w:val="singleLevel"/>
    <w:tmpl w:val="BE229F00"/>
    <w:lvl w:ilvl="0">
      <w:start w:val="1"/>
      <w:numFmt w:val="bullet"/>
      <w:lvlText w:val=""/>
      <w:lvlJc w:val="left"/>
      <w:pPr>
        <w:tabs>
          <w:tab w:val="num" w:pos="360"/>
        </w:tabs>
        <w:ind w:left="360" w:hanging="360"/>
      </w:pPr>
      <w:rPr>
        <w:rFonts w:ascii="Symbol" w:hAnsi="Symbol" w:hint="default"/>
      </w:rPr>
    </w:lvl>
  </w:abstractNum>
  <w:abstractNum w:abstractNumId="10">
    <w:nsid w:val="0842760B"/>
    <w:multiLevelType w:val="multilevel"/>
    <w:tmpl w:val="116E0F86"/>
    <w:lvl w:ilvl="0">
      <w:start w:val="1"/>
      <w:numFmt w:val="decimal"/>
      <w:lvlText w:val="SOW %1."/>
      <w:lvlJc w:val="left"/>
      <w:pPr>
        <w:tabs>
          <w:tab w:val="num" w:pos="1134"/>
        </w:tabs>
        <w:ind w:left="1134" w:hanging="1134"/>
      </w:pPr>
      <w:rPr>
        <w:rFonts w:hint="default"/>
        <w:b/>
        <w:i w:val="0"/>
      </w:rPr>
    </w:lvl>
    <w:lvl w:ilvl="1">
      <w:start w:val="1"/>
      <w:numFmt w:val="decimal"/>
      <w:lvlText w:val="SOW %1.%2."/>
      <w:lvlJc w:val="left"/>
      <w:pPr>
        <w:tabs>
          <w:tab w:val="num" w:pos="1418"/>
        </w:tabs>
        <w:ind w:left="1418" w:hanging="1418"/>
      </w:pPr>
      <w:rPr>
        <w:rFonts w:hint="default"/>
        <w:b w:val="0"/>
        <w:i w:val="0"/>
      </w:rPr>
    </w:lvl>
    <w:lvl w:ilvl="2">
      <w:start w:val="1"/>
      <w:numFmt w:val="decimal"/>
      <w:lvlText w:val="SOW %1.%2.%3"/>
      <w:lvlJc w:val="left"/>
      <w:pPr>
        <w:tabs>
          <w:tab w:val="num" w:pos="1701"/>
        </w:tabs>
        <w:ind w:left="1701" w:hanging="1701"/>
      </w:pPr>
      <w:rPr>
        <w:rFonts w:hint="default"/>
      </w:rPr>
    </w:lvl>
    <w:lvl w:ilvl="3">
      <w:start w:val="1"/>
      <w:numFmt w:val="decimal"/>
      <w:lvlText w:val="RQ  %1.%2.%3.%4."/>
      <w:lvlJc w:val="left"/>
      <w:pPr>
        <w:tabs>
          <w:tab w:val="num" w:pos="1800"/>
        </w:tabs>
        <w:ind w:left="1728" w:hanging="648"/>
      </w:pPr>
      <w:rPr>
        <w:rFonts w:hint="default"/>
      </w:rPr>
    </w:lvl>
    <w:lvl w:ilvl="4">
      <w:start w:val="1"/>
      <w:numFmt w:val="decimal"/>
      <w:lvlText w:val="RQ  %1.%2.%3.%4.%5."/>
      <w:lvlJc w:val="left"/>
      <w:pPr>
        <w:tabs>
          <w:tab w:val="num" w:pos="2520"/>
        </w:tabs>
        <w:ind w:left="2232" w:hanging="792"/>
      </w:pPr>
      <w:rPr>
        <w:rFonts w:hint="default"/>
      </w:rPr>
    </w:lvl>
    <w:lvl w:ilvl="5">
      <w:start w:val="1"/>
      <w:numFmt w:val="decimal"/>
      <w:lvlText w:val="RQ  %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0C375E6B"/>
    <w:multiLevelType w:val="multilevel"/>
    <w:tmpl w:val="D79AA696"/>
    <w:lvl w:ilvl="0">
      <w:start w:val="4"/>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E370B31"/>
    <w:multiLevelType w:val="hybridMultilevel"/>
    <w:tmpl w:val="155E20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0F224D5F"/>
    <w:multiLevelType w:val="multilevel"/>
    <w:tmpl w:val="D39CB66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46F07E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17D15A30"/>
    <w:multiLevelType w:val="hybridMultilevel"/>
    <w:tmpl w:val="652A8CCC"/>
    <w:lvl w:ilvl="0">
      <w:start w:val="1"/>
      <w:numFmt w:val="bullet"/>
      <w:lvlText w:val=""/>
      <w:lvlJc w:val="left"/>
      <w:pPr>
        <w:tabs>
          <w:tab w:val="num" w:pos="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1C535323"/>
    <w:multiLevelType w:val="multilevel"/>
    <w:tmpl w:val="1A04674E"/>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C9954D1"/>
    <w:multiLevelType w:val="multilevel"/>
    <w:tmpl w:val="0409001F"/>
    <w:numStyleLink w:val="111111"/>
  </w:abstractNum>
  <w:abstractNum w:abstractNumId="18">
    <w:nsid w:val="224B50F5"/>
    <w:multiLevelType w:val="multilevel"/>
    <w:tmpl w:val="1A04674E"/>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22F83B41"/>
    <w:multiLevelType w:val="hybridMultilevel"/>
    <w:tmpl w:val="E7DA5AE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277A39E1"/>
    <w:multiLevelType w:val="hybridMultilevel"/>
    <w:tmpl w:val="4356A51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323C6677"/>
    <w:multiLevelType w:val="hybridMultilevel"/>
    <w:tmpl w:val="57E448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445F36FE"/>
    <w:multiLevelType w:val="hybridMultilevel"/>
    <w:tmpl w:val="F4480808"/>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4D102C05"/>
    <w:multiLevelType w:val="hybridMultilevel"/>
    <w:tmpl w:val="0FC2F5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0382971"/>
    <w:multiLevelType w:val="hybridMultilevel"/>
    <w:tmpl w:val="F922158E"/>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Arial" w:hAnsi="Aria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5">
    <w:nsid w:val="5480674E"/>
    <w:multiLevelType w:val="hybridMultilevel"/>
    <w:tmpl w:val="50CC3B7A"/>
    <w:lvl w:ilvl="0" w:tplc="04090001">
      <w:start w:val="1"/>
      <w:numFmt w:val="bullet"/>
      <w:lvlText w:val=""/>
      <w:lvlJc w:val="left"/>
      <w:pPr>
        <w:tabs>
          <w:tab w:val="num" w:pos="1287"/>
        </w:tabs>
        <w:ind w:left="1287" w:hanging="360"/>
      </w:pPr>
      <w:rPr>
        <w:rFonts w:ascii="Symbol" w:hAnsi="Symbol" w:hint="default"/>
      </w:rPr>
    </w:lvl>
    <w:lvl w:ilvl="1" w:tplc="04090003">
      <w:start w:val="5"/>
      <w:numFmt w:val="bullet"/>
      <w:lvlText w:val="-"/>
      <w:lvlJc w:val="left"/>
      <w:pPr>
        <w:tabs>
          <w:tab w:val="num" w:pos="1920"/>
        </w:tabs>
        <w:ind w:left="1920" w:hanging="360"/>
      </w:pPr>
      <w:rPr>
        <w:rFonts w:ascii="Times New Roman" w:eastAsia="Times New Roman" w:hAnsi="Times New Roman" w:cs="Times New Roman"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55C0714F"/>
    <w:multiLevelType w:val="hybridMultilevel"/>
    <w:tmpl w:val="61C2DC3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45D0BEDE">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6927567"/>
    <w:multiLevelType w:val="hybridMultilevel"/>
    <w:tmpl w:val="9E18AC7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nsid w:val="6270360C"/>
    <w:multiLevelType w:val="multilevel"/>
    <w:tmpl w:val="1A04674E"/>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EEA57C6"/>
    <w:multiLevelType w:val="multilevel"/>
    <w:tmpl w:val="23A2561C"/>
    <w:lvl w:ilvl="0">
      <w:start w:val="1"/>
      <w:numFmt w:val="decimal"/>
      <w:pStyle w:val="Heading1"/>
      <w:lvlText w:val="%1.0"/>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nsid w:val="740A6DD9"/>
    <w:multiLevelType w:val="hybridMultilevel"/>
    <w:tmpl w:val="43128AB0"/>
    <w:lvl w:ilvl="0">
      <w:start w:val="1"/>
      <w:numFmt w:val="bullet"/>
      <w:lvlText w:val=""/>
      <w:lvlJc w:val="left"/>
      <w:pPr>
        <w:tabs>
          <w:tab w:val="num" w:pos="360"/>
        </w:tabs>
        <w:ind w:left="360" w:hanging="360"/>
      </w:pPr>
      <w:rPr>
        <w:rFonts w:ascii="Symbol" w:hAnsi="Symbol" w:hint="default"/>
      </w:rPr>
    </w:lvl>
    <w:lvl w:ilvl="1">
      <w:start w:val="1"/>
      <w:numFmt w:val="bullet"/>
      <w:pStyle w:val="2nd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nsid w:val="78AC30DC"/>
    <w:multiLevelType w:val="hybridMultilevel"/>
    <w:tmpl w:val="2CA8833C"/>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2">
    <w:nsid w:val="7CEB138E"/>
    <w:multiLevelType w:val="hybridMultilevel"/>
    <w:tmpl w:val="CBE0C7CC"/>
    <w:lvl w:ilvl="0" w:tplc="04090001">
      <w:start w:val="1"/>
      <w:numFmt w:val="bullet"/>
      <w:lvlText w:val=""/>
      <w:lvlJc w:val="left"/>
      <w:pPr>
        <w:tabs>
          <w:tab w:val="num" w:pos="360"/>
        </w:tabs>
        <w:ind w:left="360" w:hanging="360"/>
      </w:pPr>
      <w:rPr>
        <w:rFonts w:ascii="Symbol" w:hAnsi="Symbol" w:hint="default"/>
      </w:rPr>
    </w:lvl>
    <w:lvl w:ilvl="1" w:tplc="C2806328"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4"/>
  </w:num>
  <w:num w:numId="3">
    <w:abstractNumId w:val="25"/>
  </w:num>
  <w:num w:numId="4">
    <w:abstractNumId w:val="11"/>
  </w:num>
  <w:num w:numId="5">
    <w:abstractNumId w:val="30"/>
  </w:num>
  <w:num w:numId="6">
    <w:abstractNumId w:val="31"/>
  </w:num>
  <w:num w:numId="7">
    <w:abstractNumId w:val="24"/>
  </w:num>
  <w:num w:numId="8">
    <w:abstractNumId w:val="19"/>
  </w:num>
  <w:num w:numId="9">
    <w:abstractNumId w:val="26"/>
  </w:num>
  <w:num w:numId="10">
    <w:abstractNumId w:val="32"/>
  </w:num>
  <w:num w:numId="11">
    <w:abstractNumId w:val="15"/>
  </w:num>
  <w:num w:numId="12">
    <w:abstractNumId w:val="13"/>
  </w:num>
  <w:num w:numId="13">
    <w:abstractNumId w:val="29"/>
    <w:lvlOverride w:ilvl="0">
      <w:startOverride w:val="7"/>
    </w:lvlOverride>
    <w:lvlOverride w:ilvl="1">
      <w:startOverride w:val="4"/>
    </w:lvlOverride>
  </w:num>
  <w:num w:numId="14">
    <w:abstractNumId w:val="29"/>
    <w:lvlOverride w:ilvl="0">
      <w:startOverride w:val="7"/>
    </w:lvlOverride>
    <w:lvlOverride w:ilvl="1">
      <w:startOverride w:val="4"/>
    </w:lvlOverride>
  </w:num>
  <w:num w:numId="15">
    <w:abstractNumId w:val="29"/>
  </w:num>
  <w:num w:numId="16">
    <w:abstractNumId w:val="16"/>
  </w:num>
  <w:num w:numId="17">
    <w:abstractNumId w:val="28"/>
  </w:num>
  <w:num w:numId="18">
    <w:abstractNumId w:val="18"/>
  </w:num>
  <w:num w:numId="19">
    <w:abstractNumId w:val="8"/>
  </w:num>
  <w:num w:numId="20">
    <w:abstractNumId w:val="3"/>
  </w:num>
  <w:num w:numId="21">
    <w:abstractNumId w:val="2"/>
  </w:num>
  <w:num w:numId="22">
    <w:abstractNumId w:val="1"/>
  </w:num>
  <w:num w:numId="23">
    <w:abstractNumId w:val="0"/>
  </w:num>
  <w:num w:numId="24">
    <w:abstractNumId w:val="9"/>
  </w:num>
  <w:num w:numId="25">
    <w:abstractNumId w:val="7"/>
  </w:num>
  <w:num w:numId="26">
    <w:abstractNumId w:val="6"/>
  </w:num>
  <w:num w:numId="27">
    <w:abstractNumId w:val="5"/>
  </w:num>
  <w:num w:numId="28">
    <w:abstractNumId w:val="4"/>
  </w:num>
  <w:num w:numId="29">
    <w:abstractNumId w:val="10"/>
  </w:num>
  <w:num w:numId="30">
    <w:abstractNumId w:val="20"/>
  </w:num>
  <w:num w:numId="31">
    <w:abstractNumId w:val="12"/>
  </w:num>
  <w:num w:numId="32">
    <w:abstractNumId w:val="21"/>
  </w:num>
  <w:num w:numId="33">
    <w:abstractNumId w:val="14"/>
  </w:num>
  <w:num w:numId="34">
    <w:abstractNumId w:val="17"/>
  </w:num>
  <w:num w:numId="35">
    <w:abstractNumId w:val="23"/>
  </w:num>
  <w:num w:numId="36">
    <w:abstractNumId w:val="27"/>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stylePaneFormatFilter w:val="0004"/>
  <w:defaultTabStop w:val="720"/>
  <w:drawingGridHorizontalSpacing w:val="187"/>
  <w:drawingGridVerticalSpacing w:val="187"/>
  <w:characterSpacingControl w:val="doNotCompress"/>
  <w:hdrShapeDefaults>
    <o:shapedefaults v:ext="edit" spidmax="3074">
      <o:colormenu v:ext="edit" fillcolor="#ff9" strokecolor="none"/>
    </o:shapedefaults>
    <o:shapelayout v:ext="edit">
      <o:idmap v:ext="edit" data="2"/>
    </o:shapelayout>
  </w:hdrShapeDefaults>
  <w:footnotePr>
    <w:footnote w:id="0"/>
    <w:footnote w:id="1"/>
  </w:footnotePr>
  <w:endnotePr>
    <w:endnote w:id="0"/>
    <w:endnote w:id="1"/>
  </w:endnotePr>
  <w:compat/>
  <w:rsids>
    <w:rsidRoot w:val="007045B9"/>
    <w:rsid w:val="000104D8"/>
    <w:rsid w:val="00022972"/>
    <w:rsid w:val="00023F30"/>
    <w:rsid w:val="00024951"/>
    <w:rsid w:val="0002742E"/>
    <w:rsid w:val="00033011"/>
    <w:rsid w:val="00036615"/>
    <w:rsid w:val="00043880"/>
    <w:rsid w:val="00047BBB"/>
    <w:rsid w:val="00052FC7"/>
    <w:rsid w:val="00054F3C"/>
    <w:rsid w:val="0006024D"/>
    <w:rsid w:val="0006199B"/>
    <w:rsid w:val="00061A9E"/>
    <w:rsid w:val="00090646"/>
    <w:rsid w:val="000A59D7"/>
    <w:rsid w:val="000B4781"/>
    <w:rsid w:val="000F1997"/>
    <w:rsid w:val="000F629F"/>
    <w:rsid w:val="00100597"/>
    <w:rsid w:val="001240A3"/>
    <w:rsid w:val="0013532B"/>
    <w:rsid w:val="00140C53"/>
    <w:rsid w:val="00141110"/>
    <w:rsid w:val="00145C51"/>
    <w:rsid w:val="00160DB6"/>
    <w:rsid w:val="0016691F"/>
    <w:rsid w:val="0016761F"/>
    <w:rsid w:val="00182DC1"/>
    <w:rsid w:val="001850D2"/>
    <w:rsid w:val="001907AE"/>
    <w:rsid w:val="00191C73"/>
    <w:rsid w:val="00192769"/>
    <w:rsid w:val="001A19EB"/>
    <w:rsid w:val="001A1BA5"/>
    <w:rsid w:val="001A1E5E"/>
    <w:rsid w:val="001A27CB"/>
    <w:rsid w:val="001B2646"/>
    <w:rsid w:val="001C1C52"/>
    <w:rsid w:val="001D1B56"/>
    <w:rsid w:val="001D5738"/>
    <w:rsid w:val="001E06B3"/>
    <w:rsid w:val="001F4FFB"/>
    <w:rsid w:val="00202F5F"/>
    <w:rsid w:val="00206B0F"/>
    <w:rsid w:val="00207303"/>
    <w:rsid w:val="00210DA9"/>
    <w:rsid w:val="002130C6"/>
    <w:rsid w:val="0023224C"/>
    <w:rsid w:val="00236505"/>
    <w:rsid w:val="0025584C"/>
    <w:rsid w:val="002577EC"/>
    <w:rsid w:val="002635FD"/>
    <w:rsid w:val="0027611E"/>
    <w:rsid w:val="0028007C"/>
    <w:rsid w:val="002832EE"/>
    <w:rsid w:val="00291024"/>
    <w:rsid w:val="002A375C"/>
    <w:rsid w:val="002B5E75"/>
    <w:rsid w:val="002C3EBA"/>
    <w:rsid w:val="002F0553"/>
    <w:rsid w:val="002F2169"/>
    <w:rsid w:val="00307168"/>
    <w:rsid w:val="003165E5"/>
    <w:rsid w:val="00324EE0"/>
    <w:rsid w:val="0033399F"/>
    <w:rsid w:val="003345C7"/>
    <w:rsid w:val="00344B32"/>
    <w:rsid w:val="00361FF2"/>
    <w:rsid w:val="00362B4A"/>
    <w:rsid w:val="00364BAF"/>
    <w:rsid w:val="00366DE6"/>
    <w:rsid w:val="00367766"/>
    <w:rsid w:val="00373A2A"/>
    <w:rsid w:val="0038353C"/>
    <w:rsid w:val="00391E45"/>
    <w:rsid w:val="00396CD5"/>
    <w:rsid w:val="003A1EB6"/>
    <w:rsid w:val="003A2BE3"/>
    <w:rsid w:val="003B2A17"/>
    <w:rsid w:val="003B454A"/>
    <w:rsid w:val="003C6E77"/>
    <w:rsid w:val="003C7C2F"/>
    <w:rsid w:val="003D6A5A"/>
    <w:rsid w:val="003D7766"/>
    <w:rsid w:val="003F34C4"/>
    <w:rsid w:val="003F667B"/>
    <w:rsid w:val="00400F6E"/>
    <w:rsid w:val="00413B28"/>
    <w:rsid w:val="00416087"/>
    <w:rsid w:val="00420319"/>
    <w:rsid w:val="004225D4"/>
    <w:rsid w:val="004321ED"/>
    <w:rsid w:val="00432D0A"/>
    <w:rsid w:val="00432E0F"/>
    <w:rsid w:val="004652AC"/>
    <w:rsid w:val="00467349"/>
    <w:rsid w:val="00475C8E"/>
    <w:rsid w:val="00486842"/>
    <w:rsid w:val="004A0241"/>
    <w:rsid w:val="004A089C"/>
    <w:rsid w:val="004D3096"/>
    <w:rsid w:val="004D4EB9"/>
    <w:rsid w:val="004F57EF"/>
    <w:rsid w:val="005235DA"/>
    <w:rsid w:val="00531529"/>
    <w:rsid w:val="00540D24"/>
    <w:rsid w:val="0055762C"/>
    <w:rsid w:val="00565FA3"/>
    <w:rsid w:val="00566085"/>
    <w:rsid w:val="005664D2"/>
    <w:rsid w:val="00572FE3"/>
    <w:rsid w:val="00590912"/>
    <w:rsid w:val="005A6CEE"/>
    <w:rsid w:val="005C19EC"/>
    <w:rsid w:val="005C7005"/>
    <w:rsid w:val="005C7267"/>
    <w:rsid w:val="005C7574"/>
    <w:rsid w:val="005F6B60"/>
    <w:rsid w:val="0060135B"/>
    <w:rsid w:val="00604DBF"/>
    <w:rsid w:val="00612745"/>
    <w:rsid w:val="006136E8"/>
    <w:rsid w:val="0061751A"/>
    <w:rsid w:val="0062642A"/>
    <w:rsid w:val="00640FF3"/>
    <w:rsid w:val="00662B12"/>
    <w:rsid w:val="006916E4"/>
    <w:rsid w:val="00692CB5"/>
    <w:rsid w:val="006B1FBD"/>
    <w:rsid w:val="006B68D6"/>
    <w:rsid w:val="006C0C4C"/>
    <w:rsid w:val="006C4120"/>
    <w:rsid w:val="006C605D"/>
    <w:rsid w:val="006D2715"/>
    <w:rsid w:val="006E708A"/>
    <w:rsid w:val="007016F7"/>
    <w:rsid w:val="007045B9"/>
    <w:rsid w:val="00707FBE"/>
    <w:rsid w:val="00711999"/>
    <w:rsid w:val="00716AA9"/>
    <w:rsid w:val="00737D04"/>
    <w:rsid w:val="0074299A"/>
    <w:rsid w:val="00753221"/>
    <w:rsid w:val="00765331"/>
    <w:rsid w:val="007658E9"/>
    <w:rsid w:val="00772062"/>
    <w:rsid w:val="00786601"/>
    <w:rsid w:val="0078735E"/>
    <w:rsid w:val="00787537"/>
    <w:rsid w:val="007939DB"/>
    <w:rsid w:val="007A1E46"/>
    <w:rsid w:val="007A7395"/>
    <w:rsid w:val="007B099B"/>
    <w:rsid w:val="007D0DF8"/>
    <w:rsid w:val="00812DFA"/>
    <w:rsid w:val="0083638E"/>
    <w:rsid w:val="00844B79"/>
    <w:rsid w:val="008549C0"/>
    <w:rsid w:val="0085706A"/>
    <w:rsid w:val="00881E38"/>
    <w:rsid w:val="00885701"/>
    <w:rsid w:val="0089031F"/>
    <w:rsid w:val="008910E5"/>
    <w:rsid w:val="0089710A"/>
    <w:rsid w:val="008A2182"/>
    <w:rsid w:val="008C5261"/>
    <w:rsid w:val="008F049E"/>
    <w:rsid w:val="0090707B"/>
    <w:rsid w:val="00907E8D"/>
    <w:rsid w:val="00932619"/>
    <w:rsid w:val="00937A65"/>
    <w:rsid w:val="00967193"/>
    <w:rsid w:val="0097573C"/>
    <w:rsid w:val="009829F2"/>
    <w:rsid w:val="00990B1D"/>
    <w:rsid w:val="009A132C"/>
    <w:rsid w:val="009B0381"/>
    <w:rsid w:val="009D51E2"/>
    <w:rsid w:val="009D5D5B"/>
    <w:rsid w:val="009D7DB8"/>
    <w:rsid w:val="009F03B3"/>
    <w:rsid w:val="009F547A"/>
    <w:rsid w:val="00A014C5"/>
    <w:rsid w:val="00A13A6E"/>
    <w:rsid w:val="00A1724B"/>
    <w:rsid w:val="00A23FCD"/>
    <w:rsid w:val="00A27CF9"/>
    <w:rsid w:val="00A3216E"/>
    <w:rsid w:val="00A41C73"/>
    <w:rsid w:val="00A42411"/>
    <w:rsid w:val="00A4618D"/>
    <w:rsid w:val="00A55665"/>
    <w:rsid w:val="00A724ED"/>
    <w:rsid w:val="00A80F58"/>
    <w:rsid w:val="00A85DFE"/>
    <w:rsid w:val="00A90025"/>
    <w:rsid w:val="00A909B0"/>
    <w:rsid w:val="00A93182"/>
    <w:rsid w:val="00A93E6E"/>
    <w:rsid w:val="00A9447F"/>
    <w:rsid w:val="00A95D20"/>
    <w:rsid w:val="00AB0187"/>
    <w:rsid w:val="00AC2FF3"/>
    <w:rsid w:val="00AE0183"/>
    <w:rsid w:val="00AE35E4"/>
    <w:rsid w:val="00AE712A"/>
    <w:rsid w:val="00B06764"/>
    <w:rsid w:val="00B24C8D"/>
    <w:rsid w:val="00B3749F"/>
    <w:rsid w:val="00B60F56"/>
    <w:rsid w:val="00B75DF7"/>
    <w:rsid w:val="00B8488D"/>
    <w:rsid w:val="00BC410A"/>
    <w:rsid w:val="00BC6C8F"/>
    <w:rsid w:val="00BD0917"/>
    <w:rsid w:val="00BD4000"/>
    <w:rsid w:val="00BD6123"/>
    <w:rsid w:val="00BE5D3F"/>
    <w:rsid w:val="00C02AD3"/>
    <w:rsid w:val="00C062EF"/>
    <w:rsid w:val="00C06B92"/>
    <w:rsid w:val="00C111DA"/>
    <w:rsid w:val="00C31D16"/>
    <w:rsid w:val="00C367A9"/>
    <w:rsid w:val="00C36A6F"/>
    <w:rsid w:val="00C37720"/>
    <w:rsid w:val="00C40814"/>
    <w:rsid w:val="00C432B7"/>
    <w:rsid w:val="00C4517A"/>
    <w:rsid w:val="00C516AA"/>
    <w:rsid w:val="00C55309"/>
    <w:rsid w:val="00C60618"/>
    <w:rsid w:val="00C90EF7"/>
    <w:rsid w:val="00C97877"/>
    <w:rsid w:val="00CC55D7"/>
    <w:rsid w:val="00CC5F94"/>
    <w:rsid w:val="00CC7481"/>
    <w:rsid w:val="00CC7D5E"/>
    <w:rsid w:val="00CD4629"/>
    <w:rsid w:val="00CD6BAD"/>
    <w:rsid w:val="00CD7E77"/>
    <w:rsid w:val="00CF5640"/>
    <w:rsid w:val="00CF6715"/>
    <w:rsid w:val="00CF7406"/>
    <w:rsid w:val="00D0569F"/>
    <w:rsid w:val="00D1361B"/>
    <w:rsid w:val="00D3117B"/>
    <w:rsid w:val="00D41FD7"/>
    <w:rsid w:val="00D640F4"/>
    <w:rsid w:val="00D645F4"/>
    <w:rsid w:val="00D6695F"/>
    <w:rsid w:val="00D7485D"/>
    <w:rsid w:val="00D904B0"/>
    <w:rsid w:val="00D941EF"/>
    <w:rsid w:val="00D943E8"/>
    <w:rsid w:val="00DA19DB"/>
    <w:rsid w:val="00DA3DE3"/>
    <w:rsid w:val="00DB2D2E"/>
    <w:rsid w:val="00DB4789"/>
    <w:rsid w:val="00DC0AFB"/>
    <w:rsid w:val="00DD275F"/>
    <w:rsid w:val="00DE0458"/>
    <w:rsid w:val="00DE6371"/>
    <w:rsid w:val="00DF17C9"/>
    <w:rsid w:val="00DF561A"/>
    <w:rsid w:val="00DF56CC"/>
    <w:rsid w:val="00DF5DB5"/>
    <w:rsid w:val="00E13AAC"/>
    <w:rsid w:val="00E254FD"/>
    <w:rsid w:val="00E255D8"/>
    <w:rsid w:val="00E25692"/>
    <w:rsid w:val="00E264E1"/>
    <w:rsid w:val="00E41A78"/>
    <w:rsid w:val="00E50C79"/>
    <w:rsid w:val="00E65013"/>
    <w:rsid w:val="00E9425C"/>
    <w:rsid w:val="00EA0579"/>
    <w:rsid w:val="00EA13CE"/>
    <w:rsid w:val="00EA5C4E"/>
    <w:rsid w:val="00EA70C6"/>
    <w:rsid w:val="00EC2662"/>
    <w:rsid w:val="00EE1C86"/>
    <w:rsid w:val="00EE3A8E"/>
    <w:rsid w:val="00EE4986"/>
    <w:rsid w:val="00EF790C"/>
    <w:rsid w:val="00F07982"/>
    <w:rsid w:val="00F151A6"/>
    <w:rsid w:val="00F21C4D"/>
    <w:rsid w:val="00F51A82"/>
    <w:rsid w:val="00F624F0"/>
    <w:rsid w:val="00F63E45"/>
    <w:rsid w:val="00F67EF9"/>
    <w:rsid w:val="00F719CA"/>
    <w:rsid w:val="00F91077"/>
    <w:rsid w:val="00F93BAB"/>
    <w:rsid w:val="00FB45E3"/>
    <w:rsid w:val="00FC4EB2"/>
    <w:rsid w:val="00FE12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colormenu v:ext="edit" fillcolor="#ff9" strokecolor="none"/>
    </o:shapedefaults>
    <o:shapelayout v:ext="edit">
      <o:idmap v:ext="edit" data="1"/>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399F"/>
    <w:pPr>
      <w:spacing w:before="120"/>
      <w:ind w:left="720"/>
    </w:pPr>
    <w:rPr>
      <w:sz w:val="24"/>
      <w:szCs w:val="24"/>
    </w:rPr>
  </w:style>
  <w:style w:type="paragraph" w:styleId="Heading1">
    <w:name w:val="heading 1"/>
    <w:basedOn w:val="Normal"/>
    <w:next w:val="Normal"/>
    <w:link w:val="Heading1Char"/>
    <w:qFormat/>
    <w:rsid w:val="007045B9"/>
    <w:pPr>
      <w:keepNext/>
      <w:numPr>
        <w:numId w:val="1"/>
      </w:numPr>
      <w:outlineLvl w:val="0"/>
    </w:pPr>
    <w:rPr>
      <w:rFonts w:ascii="Times New Roman Bold" w:hAnsi="Times New Roman Bold" w:cs="Arial"/>
      <w:b/>
      <w:bCs/>
      <w:caps/>
      <w:kern w:val="32"/>
      <w:sz w:val="28"/>
      <w:szCs w:val="32"/>
    </w:rPr>
  </w:style>
  <w:style w:type="paragraph" w:styleId="Heading2">
    <w:name w:val="heading 2"/>
    <w:basedOn w:val="Normal"/>
    <w:next w:val="Normal"/>
    <w:link w:val="Heading2Char"/>
    <w:autoRedefine/>
    <w:qFormat/>
    <w:rsid w:val="00361FF2"/>
    <w:pPr>
      <w:keepNext/>
      <w:numPr>
        <w:ilvl w:val="1"/>
        <w:numId w:val="1"/>
      </w:numPr>
      <w:tabs>
        <w:tab w:val="left" w:pos="720"/>
      </w:tabs>
      <w:outlineLvl w:val="1"/>
    </w:pPr>
    <w:rPr>
      <w:rFonts w:ascii="Times New Roman Bold" w:hAnsi="Times New Roman Bold" w:cs="Arial"/>
      <w:b/>
      <w:bCs/>
      <w:i/>
      <w:iCs/>
      <w:sz w:val="26"/>
      <w:szCs w:val="28"/>
      <w:u w:val="single"/>
      <w:lang w:val="en-GB"/>
    </w:rPr>
  </w:style>
  <w:style w:type="paragraph" w:styleId="Heading3">
    <w:name w:val="heading 3"/>
    <w:basedOn w:val="Normal"/>
    <w:next w:val="Normal"/>
    <w:qFormat/>
    <w:rsid w:val="00E255D8"/>
    <w:pPr>
      <w:keepNext/>
      <w:numPr>
        <w:ilvl w:val="2"/>
        <w:numId w:val="1"/>
      </w:numPr>
      <w:tabs>
        <w:tab w:val="left" w:pos="1122"/>
      </w:tabs>
      <w:outlineLvl w:val="2"/>
    </w:pPr>
    <w:rPr>
      <w:rFonts w:cs="Arial"/>
      <w:b/>
      <w:bCs/>
      <w:sz w:val="22"/>
      <w:szCs w:val="26"/>
    </w:rPr>
  </w:style>
  <w:style w:type="paragraph" w:styleId="Heading4">
    <w:name w:val="heading 4"/>
    <w:basedOn w:val="Normal"/>
    <w:next w:val="Normal"/>
    <w:link w:val="Heading4Char"/>
    <w:qFormat/>
    <w:rsid w:val="00E255D8"/>
    <w:pPr>
      <w:keepNext/>
      <w:numPr>
        <w:ilvl w:val="3"/>
        <w:numId w:val="1"/>
      </w:numPr>
      <w:tabs>
        <w:tab w:val="left" w:pos="935"/>
      </w:tabs>
      <w:outlineLvl w:val="3"/>
    </w:pPr>
    <w:rPr>
      <w:bCs/>
      <w:i/>
      <w:sz w:val="22"/>
      <w:szCs w:val="28"/>
      <w:u w:val="single"/>
    </w:rPr>
  </w:style>
  <w:style w:type="paragraph" w:styleId="Heading5">
    <w:name w:val="heading 5"/>
    <w:basedOn w:val="Normal"/>
    <w:next w:val="Normal"/>
    <w:qFormat/>
    <w:rsid w:val="007045B9"/>
    <w:pPr>
      <w:numPr>
        <w:ilvl w:val="4"/>
        <w:numId w:val="1"/>
      </w:numPr>
      <w:spacing w:before="240" w:after="60"/>
      <w:outlineLvl w:val="4"/>
    </w:pPr>
    <w:rPr>
      <w:b/>
      <w:bCs/>
      <w:i/>
      <w:iCs/>
      <w:sz w:val="26"/>
      <w:szCs w:val="26"/>
    </w:rPr>
  </w:style>
  <w:style w:type="paragraph" w:styleId="Heading6">
    <w:name w:val="heading 6"/>
    <w:basedOn w:val="Normal"/>
    <w:next w:val="Normal"/>
    <w:qFormat/>
    <w:rsid w:val="007045B9"/>
    <w:pPr>
      <w:numPr>
        <w:ilvl w:val="5"/>
        <w:numId w:val="1"/>
      </w:numPr>
      <w:spacing w:before="240" w:after="60"/>
      <w:outlineLvl w:val="5"/>
    </w:pPr>
    <w:rPr>
      <w:b/>
      <w:bCs/>
      <w:sz w:val="22"/>
      <w:szCs w:val="22"/>
    </w:rPr>
  </w:style>
  <w:style w:type="paragraph" w:styleId="Heading7">
    <w:name w:val="heading 7"/>
    <w:basedOn w:val="Normal"/>
    <w:next w:val="Normal"/>
    <w:qFormat/>
    <w:rsid w:val="007045B9"/>
    <w:pPr>
      <w:numPr>
        <w:ilvl w:val="6"/>
        <w:numId w:val="1"/>
      </w:numPr>
      <w:spacing w:before="240" w:after="60"/>
      <w:outlineLvl w:val="6"/>
    </w:pPr>
  </w:style>
  <w:style w:type="paragraph" w:styleId="Heading8">
    <w:name w:val="heading 8"/>
    <w:basedOn w:val="Normal"/>
    <w:next w:val="Normal"/>
    <w:qFormat/>
    <w:rsid w:val="007045B9"/>
    <w:pPr>
      <w:numPr>
        <w:ilvl w:val="7"/>
        <w:numId w:val="1"/>
      </w:numPr>
      <w:spacing w:before="240" w:after="60"/>
      <w:outlineLvl w:val="7"/>
    </w:pPr>
    <w:rPr>
      <w:i/>
      <w:iCs/>
    </w:rPr>
  </w:style>
  <w:style w:type="paragraph" w:styleId="Heading9">
    <w:name w:val="heading 9"/>
    <w:basedOn w:val="Normal"/>
    <w:next w:val="Normal"/>
    <w:qFormat/>
    <w:rsid w:val="007045B9"/>
    <w:pPr>
      <w:numPr>
        <w:ilvl w:val="8"/>
        <w:numId w:val="1"/>
      </w:numPr>
      <w:spacing w:before="240" w:after="60"/>
      <w:outlineLvl w:val="8"/>
    </w:pPr>
    <w:rPr>
      <w:rFonts w:cs="Arial"/>
      <w:sz w:val="22"/>
      <w:szCs w:val="22"/>
    </w:rPr>
  </w:style>
  <w:style w:type="character" w:default="1" w:styleId="DefaultParagraphFont">
    <w:name w:val="Default Paragraph Font"/>
    <w:aliases w:val=" Char1 Char Char Char Char Char"/>
    <w:link w:val="Char1CharChar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045B9"/>
    <w:pPr>
      <w:tabs>
        <w:tab w:val="center" w:pos="4320"/>
        <w:tab w:val="right" w:pos="8640"/>
      </w:tabs>
    </w:pPr>
  </w:style>
  <w:style w:type="paragraph" w:styleId="Footer">
    <w:name w:val="footer"/>
    <w:aliases w:val="Footer Char"/>
    <w:basedOn w:val="Normal"/>
    <w:rsid w:val="007045B9"/>
    <w:pPr>
      <w:tabs>
        <w:tab w:val="center" w:pos="4320"/>
        <w:tab w:val="right" w:pos="8640"/>
      </w:tabs>
    </w:pPr>
  </w:style>
  <w:style w:type="paragraph" w:customStyle="1" w:styleId="NC3ATitle">
    <w:name w:val="NC3A Title"/>
    <w:basedOn w:val="Normal"/>
    <w:next w:val="Normal"/>
    <w:autoRedefine/>
    <w:rsid w:val="00D941EF"/>
    <w:pPr>
      <w:spacing w:before="0"/>
      <w:ind w:left="0"/>
      <w:jc w:val="center"/>
    </w:pPr>
    <w:rPr>
      <w:rFonts w:ascii="Times New Roman Bold" w:hAnsi="Times New Roman Bold"/>
      <w:b/>
      <w:caps/>
      <w:sz w:val="28"/>
    </w:rPr>
  </w:style>
  <w:style w:type="character" w:styleId="PageNumber">
    <w:name w:val="page number"/>
    <w:basedOn w:val="DefaultParagraphFont"/>
    <w:rsid w:val="007045B9"/>
  </w:style>
  <w:style w:type="paragraph" w:customStyle="1" w:styleId="Char1CharCharChar">
    <w:name w:val=" Char1 Char Char Char"/>
    <w:basedOn w:val="Normal"/>
    <w:link w:val="DefaultParagraphFont"/>
    <w:rsid w:val="007045B9"/>
    <w:pPr>
      <w:spacing w:after="160" w:line="240" w:lineRule="exact"/>
    </w:pPr>
    <w:rPr>
      <w:rFonts w:ascii="Verdana" w:hAnsi="Verdana"/>
      <w:sz w:val="20"/>
      <w:szCs w:val="20"/>
    </w:rPr>
  </w:style>
  <w:style w:type="table" w:styleId="TableGrid">
    <w:name w:val="Table Grid"/>
    <w:basedOn w:val="TableNormal"/>
    <w:rsid w:val="00704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045B9"/>
    <w:rPr>
      <w:b/>
      <w:bCs/>
      <w:sz w:val="20"/>
      <w:szCs w:val="20"/>
    </w:rPr>
  </w:style>
  <w:style w:type="character" w:customStyle="1" w:styleId="Heading2Char">
    <w:name w:val="Heading 2 Char"/>
    <w:basedOn w:val="DefaultParagraphFont"/>
    <w:link w:val="Heading2"/>
    <w:rsid w:val="00361FF2"/>
    <w:rPr>
      <w:rFonts w:ascii="Times New Roman Bold" w:hAnsi="Times New Roman Bold" w:cs="Arial"/>
      <w:b/>
      <w:bCs/>
      <w:i/>
      <w:iCs/>
      <w:sz w:val="26"/>
      <w:szCs w:val="28"/>
      <w:u w:val="single"/>
      <w:lang w:val="en-GB"/>
    </w:rPr>
  </w:style>
  <w:style w:type="paragraph" w:styleId="ListBullet5">
    <w:name w:val="List Bullet 5"/>
    <w:basedOn w:val="Normal"/>
    <w:rsid w:val="007045B9"/>
    <w:pPr>
      <w:numPr>
        <w:numId w:val="2"/>
      </w:numPr>
      <w:spacing w:before="0"/>
    </w:pPr>
  </w:style>
  <w:style w:type="character" w:customStyle="1" w:styleId="Heading1Char">
    <w:name w:val="Heading 1 Char"/>
    <w:basedOn w:val="DefaultParagraphFont"/>
    <w:link w:val="Heading1"/>
    <w:rsid w:val="007045B9"/>
    <w:rPr>
      <w:rFonts w:ascii="Times New Roman Bold" w:hAnsi="Times New Roman Bold" w:cs="Arial"/>
      <w:b/>
      <w:bCs/>
      <w:caps/>
      <w:kern w:val="32"/>
      <w:sz w:val="28"/>
      <w:szCs w:val="32"/>
      <w:lang w:val="en-US" w:eastAsia="en-US" w:bidi="ar-SA"/>
    </w:rPr>
  </w:style>
  <w:style w:type="paragraph" w:styleId="TOC1">
    <w:name w:val="toc 1"/>
    <w:basedOn w:val="Normal"/>
    <w:next w:val="Normal"/>
    <w:autoRedefine/>
    <w:uiPriority w:val="39"/>
    <w:rsid w:val="00AB0187"/>
    <w:pPr>
      <w:ind w:left="0"/>
    </w:pPr>
    <w:rPr>
      <w:b/>
    </w:rPr>
  </w:style>
  <w:style w:type="paragraph" w:styleId="TOC2">
    <w:name w:val="toc 2"/>
    <w:basedOn w:val="Normal"/>
    <w:next w:val="Normal"/>
    <w:autoRedefine/>
    <w:uiPriority w:val="39"/>
    <w:rsid w:val="00AB0187"/>
    <w:pPr>
      <w:spacing w:before="0"/>
      <w:ind w:left="245"/>
    </w:pPr>
    <w:rPr>
      <w:sz w:val="22"/>
    </w:rPr>
  </w:style>
  <w:style w:type="character" w:styleId="Hyperlink">
    <w:name w:val="Hyperlink"/>
    <w:basedOn w:val="DefaultParagraphFont"/>
    <w:uiPriority w:val="99"/>
    <w:rsid w:val="007045B9"/>
    <w:rPr>
      <w:color w:val="0000FF"/>
      <w:u w:val="single"/>
    </w:rPr>
  </w:style>
  <w:style w:type="paragraph" w:customStyle="1" w:styleId="TableText">
    <w:name w:val="Table Text"/>
    <w:rsid w:val="007045B9"/>
    <w:pPr>
      <w:spacing w:before="40" w:after="60" w:line="280" w:lineRule="atLeast"/>
    </w:pPr>
    <w:rPr>
      <w:sz w:val="24"/>
    </w:rPr>
  </w:style>
  <w:style w:type="character" w:customStyle="1" w:styleId="Heading4Char">
    <w:name w:val="Heading 4 Char"/>
    <w:basedOn w:val="DefaultParagraphFont"/>
    <w:link w:val="Heading4"/>
    <w:rsid w:val="00E255D8"/>
    <w:rPr>
      <w:bCs/>
      <w:i/>
      <w:sz w:val="22"/>
      <w:szCs w:val="28"/>
      <w:u w:val="single"/>
      <w:lang w:val="en-US" w:eastAsia="en-US" w:bidi="ar-SA"/>
    </w:rPr>
  </w:style>
  <w:style w:type="paragraph" w:customStyle="1" w:styleId="2ndBullet">
    <w:name w:val="2nd Bullet"/>
    <w:basedOn w:val="Normal"/>
    <w:rsid w:val="007045B9"/>
    <w:pPr>
      <w:numPr>
        <w:ilvl w:val="1"/>
        <w:numId w:val="5"/>
      </w:numPr>
      <w:spacing w:before="0"/>
      <w:ind w:left="2405"/>
    </w:pPr>
    <w:rPr>
      <w:lang w:val="en-GB"/>
    </w:rPr>
  </w:style>
  <w:style w:type="paragraph" w:styleId="BodyText">
    <w:name w:val="Body Text"/>
    <w:basedOn w:val="Normal"/>
    <w:rsid w:val="00F91077"/>
    <w:pPr>
      <w:tabs>
        <w:tab w:val="left" w:pos="630"/>
      </w:tabs>
      <w:spacing w:before="0"/>
      <w:ind w:left="0"/>
      <w:jc w:val="both"/>
    </w:pPr>
  </w:style>
  <w:style w:type="character" w:styleId="CommentReference">
    <w:name w:val="annotation reference"/>
    <w:basedOn w:val="DefaultParagraphFont"/>
    <w:semiHidden/>
    <w:rsid w:val="00787537"/>
    <w:rPr>
      <w:sz w:val="16"/>
      <w:szCs w:val="16"/>
    </w:rPr>
  </w:style>
  <w:style w:type="paragraph" w:styleId="CommentText">
    <w:name w:val="annotation text"/>
    <w:basedOn w:val="Normal"/>
    <w:semiHidden/>
    <w:rsid w:val="00787537"/>
    <w:rPr>
      <w:sz w:val="20"/>
      <w:szCs w:val="20"/>
    </w:rPr>
  </w:style>
  <w:style w:type="paragraph" w:styleId="CommentSubject">
    <w:name w:val="annotation subject"/>
    <w:basedOn w:val="CommentText"/>
    <w:next w:val="CommentText"/>
    <w:semiHidden/>
    <w:rsid w:val="00787537"/>
    <w:rPr>
      <w:b/>
      <w:bCs/>
    </w:rPr>
  </w:style>
  <w:style w:type="paragraph" w:styleId="BalloonText">
    <w:name w:val="Balloon Text"/>
    <w:basedOn w:val="Normal"/>
    <w:semiHidden/>
    <w:rsid w:val="00787537"/>
    <w:rPr>
      <w:rFonts w:ascii="Tahoma" w:hAnsi="Tahoma" w:cs="Tahoma"/>
      <w:sz w:val="16"/>
      <w:szCs w:val="16"/>
    </w:rPr>
  </w:style>
  <w:style w:type="paragraph" w:customStyle="1" w:styleId="Textlevel4">
    <w:name w:val="Text level 4"/>
    <w:basedOn w:val="Heading4"/>
    <w:rsid w:val="00413B28"/>
    <w:pPr>
      <w:keepNext w:val="0"/>
      <w:keepLines/>
      <w:numPr>
        <w:ilvl w:val="0"/>
        <w:numId w:val="0"/>
      </w:numPr>
      <w:tabs>
        <w:tab w:val="clear" w:pos="935"/>
        <w:tab w:val="left" w:pos="1200"/>
      </w:tabs>
      <w:spacing w:after="120"/>
    </w:pPr>
    <w:rPr>
      <w:bCs w:val="0"/>
      <w:i w:val="0"/>
      <w:sz w:val="24"/>
      <w:szCs w:val="20"/>
      <w:u w:val="none"/>
      <w:lang w:val="en-GB"/>
    </w:rPr>
  </w:style>
  <w:style w:type="numbering" w:styleId="111111">
    <w:name w:val="Outline List 2"/>
    <w:basedOn w:val="NoList"/>
    <w:rsid w:val="00540D24"/>
    <w:pPr>
      <w:numPr>
        <w:numId w:val="33"/>
      </w:numPr>
    </w:pPr>
  </w:style>
  <w:style w:type="paragraph" w:styleId="ListParagraph">
    <w:name w:val="List Paragraph"/>
    <w:basedOn w:val="Normal"/>
    <w:uiPriority w:val="34"/>
    <w:qFormat/>
    <w:rsid w:val="00FC4EB2"/>
    <w:pPr>
      <w:contextualSpacing/>
    </w:pPr>
  </w:style>
</w:styles>
</file>

<file path=word/webSettings.xml><?xml version="1.0" encoding="utf-8"?>
<w:webSettings xmlns:r="http://schemas.openxmlformats.org/officeDocument/2006/relationships" xmlns:w="http://schemas.openxmlformats.org/wordprocessingml/2006/main">
  <w:divs>
    <w:div w:id="130307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image" Target="media/image1.jpeg" />
  <Relationship Id="rId13" Type="http://schemas.openxmlformats.org/officeDocument/2006/relationships/image" Target="media/image4.png" />
  <Relationship Id="rId18" Type="http://schemas.openxmlformats.org/officeDocument/2006/relationships/image" Target="media/image9.emf" />
  <Relationship Id="rId26" Type="http://schemas.openxmlformats.org/officeDocument/2006/relationships/footer" Target="footer3.xml" />
  <Relationship Id="rId3" Type="http://schemas.openxmlformats.org/officeDocument/2006/relationships/styles" Target="styles.xml" />
  <Relationship Id="rId21" Type="http://schemas.openxmlformats.org/officeDocument/2006/relationships/image" Target="media/image11.emf" />
  <Relationship Id="rId7" Type="http://schemas.openxmlformats.org/officeDocument/2006/relationships/endnotes" Target="endnotes.xml" />
  <Relationship Id="rId12" Type="http://schemas.openxmlformats.org/officeDocument/2006/relationships/image" Target="media/image3.png" />
  <Relationship Id="rId17" Type="http://schemas.openxmlformats.org/officeDocument/2006/relationships/image" Target="media/image8.png" />
  <Relationship Id="rId25" Type="http://schemas.openxmlformats.org/officeDocument/2006/relationships/header" Target="header3.xml" />
  <Relationship Id="rId2" Type="http://schemas.openxmlformats.org/officeDocument/2006/relationships/numbering" Target="numbering.xml" />
  <Relationship Id="rId16" Type="http://schemas.openxmlformats.org/officeDocument/2006/relationships/image" Target="media/image7.png" />
  <Relationship Id="rId20" Type="http://schemas.openxmlformats.org/officeDocument/2006/relationships/image" Target="media/image10.wmf" />
  <Relationship Id="rId29" Type="http://schemas.openxmlformats.org/officeDocument/2006/relationships/fontTable" Target="fontTable.xml" />
  <Relationship Id="rId6" Type="http://schemas.openxmlformats.org/officeDocument/2006/relationships/footnotes" Target="footnotes.xml" />
  <Relationship Id="rId11" Type="http://schemas.openxmlformats.org/officeDocument/2006/relationships/footer" Target="footer1.xml" />
  <Relationship Id="rId24"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image" Target="media/image6.png" />
  <Relationship Id="rId23" Type="http://schemas.openxmlformats.org/officeDocument/2006/relationships/header" Target="header2.xml" />
  <Relationship Id="rId28" Type="http://schemas.openxmlformats.org/officeDocument/2006/relationships/image" Target="media/image15.emf" />
  <Relationship Id="rId10" Type="http://schemas.openxmlformats.org/officeDocument/2006/relationships/header" Target="header1.xml" />
  <Relationship Id="rId19" Type="http://schemas.openxmlformats.org/officeDocument/2006/relationships/oleObject" Target="embeddings/oleObject1.bin" />
  <Relationship Id="rId4" Type="http://schemas.openxmlformats.org/officeDocument/2006/relationships/settings" Target="settings.xml" />
  <Relationship Id="rId9" Type="http://schemas.openxmlformats.org/officeDocument/2006/relationships/image" Target="media/image2.png" />
  <Relationship Id="rId14" Type="http://schemas.openxmlformats.org/officeDocument/2006/relationships/image" Target="media/image5.png" />
  <Relationship Id="rId22" Type="http://schemas.openxmlformats.org/officeDocument/2006/relationships/image" Target="media/image12.wmf" />
  <Relationship Id="rId27" Type="http://schemas.openxmlformats.org/officeDocument/2006/relationships/image" Target="media/image14.emf" />
  <Relationship Id="rId30" Type="http://schemas.openxmlformats.org/officeDocument/2006/relationships/theme" Target="theme/theme1.xml" />
</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s>
</file>

<file path=word/_rels/foot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16</Pages>
  <Words>2655</Words>
  <Characters>15138</Characters>
  <DocSecurity>0</DocSecurity>
  <Lines>126</Lines>
  <Paragraphs>35</Paragraphs>
  <ScaleCrop>false</ScaleCrop>
  <HeadingPairs>
    <vt:vector size="2" baseType="variant">
      <vt:variant>
        <vt:lpstr>Title</vt:lpstr>
      </vt:variant>
      <vt:variant>
        <vt:i4>1</vt:i4>
      </vt:variant>
    </vt:vector>
  </HeadingPairs>
  <LinksUpToDate>false</LinksUpToDate>
  <CharactersWithSpaces>17758</CharactersWithSpaces>
  <SharedDoc>false</SharedDoc>
  <HLinks>
    <vt:vector size="174" baseType="variant">
      <vt:variant>
        <vt:i4>1703995</vt:i4>
      </vt:variant>
      <vt:variant>
        <vt:i4>170</vt:i4>
      </vt:variant>
      <vt:variant>
        <vt:i4>0</vt:i4>
      </vt:variant>
      <vt:variant>
        <vt:i4>5</vt:i4>
      </vt:variant>
      <vt:variant>
        <vt:lpwstr>
        </vt:lpwstr>
      </vt:variant>
      <vt:variant>
        <vt:lpwstr>_Toc218966730</vt:lpwstr>
      </vt:variant>
      <vt:variant>
        <vt:i4>1769531</vt:i4>
      </vt:variant>
      <vt:variant>
        <vt:i4>164</vt:i4>
      </vt:variant>
      <vt:variant>
        <vt:i4>0</vt:i4>
      </vt:variant>
      <vt:variant>
        <vt:i4>5</vt:i4>
      </vt:variant>
      <vt:variant>
        <vt:lpwstr>
        </vt:lpwstr>
      </vt:variant>
      <vt:variant>
        <vt:lpwstr>_Toc218966729</vt:lpwstr>
      </vt:variant>
      <vt:variant>
        <vt:i4>1769531</vt:i4>
      </vt:variant>
      <vt:variant>
        <vt:i4>158</vt:i4>
      </vt:variant>
      <vt:variant>
        <vt:i4>0</vt:i4>
      </vt:variant>
      <vt:variant>
        <vt:i4>5</vt:i4>
      </vt:variant>
      <vt:variant>
        <vt:lpwstr>
        </vt:lpwstr>
      </vt:variant>
      <vt:variant>
        <vt:lpwstr>_Toc218966728</vt:lpwstr>
      </vt:variant>
      <vt:variant>
        <vt:i4>1769531</vt:i4>
      </vt:variant>
      <vt:variant>
        <vt:i4>152</vt:i4>
      </vt:variant>
      <vt:variant>
        <vt:i4>0</vt:i4>
      </vt:variant>
      <vt:variant>
        <vt:i4>5</vt:i4>
      </vt:variant>
      <vt:variant>
        <vt:lpwstr>
        </vt:lpwstr>
      </vt:variant>
      <vt:variant>
        <vt:lpwstr>_Toc218966727</vt:lpwstr>
      </vt:variant>
      <vt:variant>
        <vt:i4>1769531</vt:i4>
      </vt:variant>
      <vt:variant>
        <vt:i4>146</vt:i4>
      </vt:variant>
      <vt:variant>
        <vt:i4>0</vt:i4>
      </vt:variant>
      <vt:variant>
        <vt:i4>5</vt:i4>
      </vt:variant>
      <vt:variant>
        <vt:lpwstr>
        </vt:lpwstr>
      </vt:variant>
      <vt:variant>
        <vt:lpwstr>_Toc218966726</vt:lpwstr>
      </vt:variant>
      <vt:variant>
        <vt:i4>1769531</vt:i4>
      </vt:variant>
      <vt:variant>
        <vt:i4>140</vt:i4>
      </vt:variant>
      <vt:variant>
        <vt:i4>0</vt:i4>
      </vt:variant>
      <vt:variant>
        <vt:i4>5</vt:i4>
      </vt:variant>
      <vt:variant>
        <vt:lpwstr>
        </vt:lpwstr>
      </vt:variant>
      <vt:variant>
        <vt:lpwstr>_Toc218966725</vt:lpwstr>
      </vt:variant>
      <vt:variant>
        <vt:i4>1769531</vt:i4>
      </vt:variant>
      <vt:variant>
        <vt:i4>134</vt:i4>
      </vt:variant>
      <vt:variant>
        <vt:i4>0</vt:i4>
      </vt:variant>
      <vt:variant>
        <vt:i4>5</vt:i4>
      </vt:variant>
      <vt:variant>
        <vt:lpwstr>
        </vt:lpwstr>
      </vt:variant>
      <vt:variant>
        <vt:lpwstr>_Toc218966724</vt:lpwstr>
      </vt:variant>
      <vt:variant>
        <vt:i4>1769531</vt:i4>
      </vt:variant>
      <vt:variant>
        <vt:i4>128</vt:i4>
      </vt:variant>
      <vt:variant>
        <vt:i4>0</vt:i4>
      </vt:variant>
      <vt:variant>
        <vt:i4>5</vt:i4>
      </vt:variant>
      <vt:variant>
        <vt:lpwstr>
        </vt:lpwstr>
      </vt:variant>
      <vt:variant>
        <vt:lpwstr>_Toc218966723</vt:lpwstr>
      </vt:variant>
      <vt:variant>
        <vt:i4>1769531</vt:i4>
      </vt:variant>
      <vt:variant>
        <vt:i4>122</vt:i4>
      </vt:variant>
      <vt:variant>
        <vt:i4>0</vt:i4>
      </vt:variant>
      <vt:variant>
        <vt:i4>5</vt:i4>
      </vt:variant>
      <vt:variant>
        <vt:lpwstr>
        </vt:lpwstr>
      </vt:variant>
      <vt:variant>
        <vt:lpwstr>_Toc218966722</vt:lpwstr>
      </vt:variant>
      <vt:variant>
        <vt:i4>1769531</vt:i4>
      </vt:variant>
      <vt:variant>
        <vt:i4>116</vt:i4>
      </vt:variant>
      <vt:variant>
        <vt:i4>0</vt:i4>
      </vt:variant>
      <vt:variant>
        <vt:i4>5</vt:i4>
      </vt:variant>
      <vt:variant>
        <vt:lpwstr>
        </vt:lpwstr>
      </vt:variant>
      <vt:variant>
        <vt:lpwstr>_Toc218966721</vt:lpwstr>
      </vt:variant>
      <vt:variant>
        <vt:i4>1769531</vt:i4>
      </vt:variant>
      <vt:variant>
        <vt:i4>110</vt:i4>
      </vt:variant>
      <vt:variant>
        <vt:i4>0</vt:i4>
      </vt:variant>
      <vt:variant>
        <vt:i4>5</vt:i4>
      </vt:variant>
      <vt:variant>
        <vt:lpwstr>
        </vt:lpwstr>
      </vt:variant>
      <vt:variant>
        <vt:lpwstr>_Toc218966720</vt:lpwstr>
      </vt:variant>
      <vt:variant>
        <vt:i4>1572923</vt:i4>
      </vt:variant>
      <vt:variant>
        <vt:i4>104</vt:i4>
      </vt:variant>
      <vt:variant>
        <vt:i4>0</vt:i4>
      </vt:variant>
      <vt:variant>
        <vt:i4>5</vt:i4>
      </vt:variant>
      <vt:variant>
        <vt:lpwstr>
        </vt:lpwstr>
      </vt:variant>
      <vt:variant>
        <vt:lpwstr>_Toc218966719</vt:lpwstr>
      </vt:variant>
      <vt:variant>
        <vt:i4>1572923</vt:i4>
      </vt:variant>
      <vt:variant>
        <vt:i4>98</vt:i4>
      </vt:variant>
      <vt:variant>
        <vt:i4>0</vt:i4>
      </vt:variant>
      <vt:variant>
        <vt:i4>5</vt:i4>
      </vt:variant>
      <vt:variant>
        <vt:lpwstr>
        </vt:lpwstr>
      </vt:variant>
      <vt:variant>
        <vt:lpwstr>_Toc218966718</vt:lpwstr>
      </vt:variant>
      <vt:variant>
        <vt:i4>1572923</vt:i4>
      </vt:variant>
      <vt:variant>
        <vt:i4>92</vt:i4>
      </vt:variant>
      <vt:variant>
        <vt:i4>0</vt:i4>
      </vt:variant>
      <vt:variant>
        <vt:i4>5</vt:i4>
      </vt:variant>
      <vt:variant>
        <vt:lpwstr>
        </vt:lpwstr>
      </vt:variant>
      <vt:variant>
        <vt:lpwstr>_Toc218966717</vt:lpwstr>
      </vt:variant>
      <vt:variant>
        <vt:i4>1572923</vt:i4>
      </vt:variant>
      <vt:variant>
        <vt:i4>86</vt:i4>
      </vt:variant>
      <vt:variant>
        <vt:i4>0</vt:i4>
      </vt:variant>
      <vt:variant>
        <vt:i4>5</vt:i4>
      </vt:variant>
      <vt:variant>
        <vt:lpwstr>
        </vt:lpwstr>
      </vt:variant>
      <vt:variant>
        <vt:lpwstr>_Toc218966716</vt:lpwstr>
      </vt:variant>
      <vt:variant>
        <vt:i4>1572923</vt:i4>
      </vt:variant>
      <vt:variant>
        <vt:i4>80</vt:i4>
      </vt:variant>
      <vt:variant>
        <vt:i4>0</vt:i4>
      </vt:variant>
      <vt:variant>
        <vt:i4>5</vt:i4>
      </vt:variant>
      <vt:variant>
        <vt:lpwstr>
        </vt:lpwstr>
      </vt:variant>
      <vt:variant>
        <vt:lpwstr>_Toc218966715</vt:lpwstr>
      </vt:variant>
      <vt:variant>
        <vt:i4>1572923</vt:i4>
      </vt:variant>
      <vt:variant>
        <vt:i4>74</vt:i4>
      </vt:variant>
      <vt:variant>
        <vt:i4>0</vt:i4>
      </vt:variant>
      <vt:variant>
        <vt:i4>5</vt:i4>
      </vt:variant>
      <vt:variant>
        <vt:lpwstr>
        </vt:lpwstr>
      </vt:variant>
      <vt:variant>
        <vt:lpwstr>_Toc218966714</vt:lpwstr>
      </vt:variant>
      <vt:variant>
        <vt:i4>1572923</vt:i4>
      </vt:variant>
      <vt:variant>
        <vt:i4>68</vt:i4>
      </vt:variant>
      <vt:variant>
        <vt:i4>0</vt:i4>
      </vt:variant>
      <vt:variant>
        <vt:i4>5</vt:i4>
      </vt:variant>
      <vt:variant>
        <vt:lpwstr>
        </vt:lpwstr>
      </vt:variant>
      <vt:variant>
        <vt:lpwstr>_Toc218966713</vt:lpwstr>
      </vt:variant>
      <vt:variant>
        <vt:i4>1572923</vt:i4>
      </vt:variant>
      <vt:variant>
        <vt:i4>62</vt:i4>
      </vt:variant>
      <vt:variant>
        <vt:i4>0</vt:i4>
      </vt:variant>
      <vt:variant>
        <vt:i4>5</vt:i4>
      </vt:variant>
      <vt:variant>
        <vt:lpwstr>
        </vt:lpwstr>
      </vt:variant>
      <vt:variant>
        <vt:lpwstr>_Toc218966712</vt:lpwstr>
      </vt:variant>
      <vt:variant>
        <vt:i4>1572923</vt:i4>
      </vt:variant>
      <vt:variant>
        <vt:i4>56</vt:i4>
      </vt:variant>
      <vt:variant>
        <vt:i4>0</vt:i4>
      </vt:variant>
      <vt:variant>
        <vt:i4>5</vt:i4>
      </vt:variant>
      <vt:variant>
        <vt:lpwstr>
        </vt:lpwstr>
      </vt:variant>
      <vt:variant>
        <vt:lpwstr>_Toc218966711</vt:lpwstr>
      </vt:variant>
      <vt:variant>
        <vt:i4>1572923</vt:i4>
      </vt:variant>
      <vt:variant>
        <vt:i4>50</vt:i4>
      </vt:variant>
      <vt:variant>
        <vt:i4>0</vt:i4>
      </vt:variant>
      <vt:variant>
        <vt:i4>5</vt:i4>
      </vt:variant>
      <vt:variant>
        <vt:lpwstr>
        </vt:lpwstr>
      </vt:variant>
      <vt:variant>
        <vt:lpwstr>_Toc218966710</vt:lpwstr>
      </vt:variant>
      <vt:variant>
        <vt:i4>1638459</vt:i4>
      </vt:variant>
      <vt:variant>
        <vt:i4>44</vt:i4>
      </vt:variant>
      <vt:variant>
        <vt:i4>0</vt:i4>
      </vt:variant>
      <vt:variant>
        <vt:i4>5</vt:i4>
      </vt:variant>
      <vt:variant>
        <vt:lpwstr>
        </vt:lpwstr>
      </vt:variant>
      <vt:variant>
        <vt:lpwstr>_Toc218966709</vt:lpwstr>
      </vt:variant>
      <vt:variant>
        <vt:i4>1638459</vt:i4>
      </vt:variant>
      <vt:variant>
        <vt:i4>38</vt:i4>
      </vt:variant>
      <vt:variant>
        <vt:i4>0</vt:i4>
      </vt:variant>
      <vt:variant>
        <vt:i4>5</vt:i4>
      </vt:variant>
      <vt:variant>
        <vt:lpwstr>
        </vt:lpwstr>
      </vt:variant>
      <vt:variant>
        <vt:lpwstr>_Toc218966708</vt:lpwstr>
      </vt:variant>
      <vt:variant>
        <vt:i4>1638459</vt:i4>
      </vt:variant>
      <vt:variant>
        <vt:i4>32</vt:i4>
      </vt:variant>
      <vt:variant>
        <vt:i4>0</vt:i4>
      </vt:variant>
      <vt:variant>
        <vt:i4>5</vt:i4>
      </vt:variant>
      <vt:variant>
        <vt:lpwstr>
        </vt:lpwstr>
      </vt:variant>
      <vt:variant>
        <vt:lpwstr>_Toc218966707</vt:lpwstr>
      </vt:variant>
      <vt:variant>
        <vt:i4>1638459</vt:i4>
      </vt:variant>
      <vt:variant>
        <vt:i4>26</vt:i4>
      </vt:variant>
      <vt:variant>
        <vt:i4>0</vt:i4>
      </vt:variant>
      <vt:variant>
        <vt:i4>5</vt:i4>
      </vt:variant>
      <vt:variant>
        <vt:lpwstr>
        </vt:lpwstr>
      </vt:variant>
      <vt:variant>
        <vt:lpwstr>_Toc218966706</vt:lpwstr>
      </vt:variant>
      <vt:variant>
        <vt:i4>1638459</vt:i4>
      </vt:variant>
      <vt:variant>
        <vt:i4>20</vt:i4>
      </vt:variant>
      <vt:variant>
        <vt:i4>0</vt:i4>
      </vt:variant>
      <vt:variant>
        <vt:i4>5</vt:i4>
      </vt:variant>
      <vt:variant>
        <vt:lpwstr>
        </vt:lpwstr>
      </vt:variant>
      <vt:variant>
        <vt:lpwstr>_Toc218966705</vt:lpwstr>
      </vt:variant>
      <vt:variant>
        <vt:i4>1638459</vt:i4>
      </vt:variant>
      <vt:variant>
        <vt:i4>14</vt:i4>
      </vt:variant>
      <vt:variant>
        <vt:i4>0</vt:i4>
      </vt:variant>
      <vt:variant>
        <vt:i4>5</vt:i4>
      </vt:variant>
      <vt:variant>
        <vt:lpwstr>
        </vt:lpwstr>
      </vt:variant>
      <vt:variant>
        <vt:lpwstr>_Toc218966704</vt:lpwstr>
      </vt:variant>
      <vt:variant>
        <vt:i4>1638459</vt:i4>
      </vt:variant>
      <vt:variant>
        <vt:i4>8</vt:i4>
      </vt:variant>
      <vt:variant>
        <vt:i4>0</vt:i4>
      </vt:variant>
      <vt:variant>
        <vt:i4>5</vt:i4>
      </vt:variant>
      <vt:variant>
        <vt:lpwstr>
        </vt:lpwstr>
      </vt:variant>
      <vt:variant>
        <vt:lpwstr>_Toc218966703</vt:lpwstr>
      </vt:variant>
      <vt:variant>
        <vt:i4>1638459</vt:i4>
      </vt:variant>
      <vt:variant>
        <vt:i4>2</vt:i4>
      </vt:variant>
      <vt:variant>
        <vt:i4>0</vt:i4>
      </vt:variant>
      <vt:variant>
        <vt:i4>5</vt:i4>
      </vt:variant>
      <vt:variant>
        <vt:lpwstr>
        </vt:lpwstr>
      </vt:variant>
      <vt:variant>
        <vt:lpwstr>_Toc218966702</vt:lpwstr>
      </vt:variant>
    </vt:vector>
  </HLinks>
  <HyperlinksChanged>false</HyperlinksChanged>
</Properties>
</file>